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14B2" w14:textId="77777777" w:rsidR="00EA68B0" w:rsidRDefault="00D02F65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3864"/>
          <w:sz w:val="30"/>
          <w:szCs w:val="30"/>
        </w:rPr>
        <w:t>DOCUMENTO DE FORMALIZAÇÃO DE DEMANDA (DFD)</w:t>
      </w:r>
    </w:p>
    <w:p w14:paraId="5C13DDE8" w14:textId="77777777" w:rsidR="00EA68B0" w:rsidRDefault="00D02F65">
      <w:pPr>
        <w:spacing w:after="100"/>
        <w:jc w:val="center"/>
      </w:pPr>
      <w:r>
        <w:rPr>
          <w:rFonts w:ascii="Calibri" w:eastAsia="Calibri" w:hAnsi="Calibri" w:cs="Calibri"/>
          <w:color w:val="595959"/>
        </w:rPr>
        <w:t>MODELO PADRONIZADO COM NOTAS ORIENTATIVAS – PCA/2027 (CICLO TRANSITÓRIO)</w:t>
      </w:r>
    </w:p>
    <w:tbl>
      <w:tblPr>
        <w:tblW w:w="9350" w:type="dxa"/>
        <w:tblBorders>
          <w:top w:val="single" w:sz="4" w:space="0" w:color="BF8F00"/>
          <w:left w:val="single" w:sz="12" w:space="0" w:color="BF8F00"/>
          <w:bottom w:val="single" w:sz="4" w:space="0" w:color="BF8F00"/>
          <w:right w:val="single" w:sz="4" w:space="0" w:color="BF8F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EA68B0" w14:paraId="634D1CA3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35070B" w14:textId="77777777" w:rsidR="00EA68B0" w:rsidRDefault="00D02F65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>📌</w:t>
            </w: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 xml:space="preserve"> Como usar este modelo</w:t>
            </w:r>
          </w:p>
          <w:p w14:paraId="6A5BEAD7" w14:textId="77777777" w:rsidR="00EA68B0" w:rsidRDefault="00D02F65"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Os campos em cinza compõem o formulário a ser preenchido pela unidade requisitante e enviado à CTPC do órgão. Os quadros amarelos como este trazem orientações de preenchimento e a base legal de cada exigência — não fazem parte do documento final; devem ser removidos antes do envio à DIP/SLC/SEAD-PI.</w:t>
            </w:r>
          </w:p>
        </w:tc>
      </w:tr>
    </w:tbl>
    <w:p w14:paraId="2050790D" w14:textId="77777777" w:rsidR="00EA68B0" w:rsidRDefault="00EA68B0">
      <w:pPr>
        <w:spacing w:after="120"/>
      </w:pPr>
    </w:p>
    <w:p w14:paraId="4A40A769" w14:textId="77777777" w:rsidR="00EA68B0" w:rsidRDefault="00D02F65">
      <w:pPr>
        <w:pStyle w:val="Ttulo1"/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1. IDENTIFICAÇÃO DO ÓRGÃO/ENTIDADE E DA UNIDADE REQUISITANTE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576"/>
        <w:gridCol w:w="6675"/>
        <w:gridCol w:w="89"/>
      </w:tblGrid>
      <w:tr w:rsidR="00EA68B0" w14:paraId="2B502CA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63501F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Órgão/Entidade: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057B18" w14:textId="77777777" w:rsidR="00EA68B0" w:rsidRDefault="00EA68B0"/>
        </w:tc>
      </w:tr>
      <w:tr w:rsidR="00EA68B0" w14:paraId="0DF0F96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CDA97B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Unidade Requisitante (origem da demanda):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EBB0F9" w14:textId="77777777" w:rsidR="00EA68B0" w:rsidRDefault="00EA68B0"/>
        </w:tc>
      </w:tr>
      <w:tr w:rsidR="00EA68B0" w14:paraId="0D34963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9CC00D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Nº do DFD (numeração sequencial):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80B88B" w14:textId="77777777" w:rsidR="00EA68B0" w:rsidRDefault="00D02F65">
            <w:r>
              <w:rPr>
                <w:rFonts w:ascii="Calibri" w:eastAsia="Calibri" w:hAnsi="Calibri" w:cs="Calibri"/>
                <w:sz w:val="19"/>
                <w:szCs w:val="19"/>
              </w:rPr>
              <w:t>DFD ___/2026</w:t>
            </w:r>
          </w:p>
        </w:tc>
      </w:tr>
      <w:tr w:rsidR="00EA68B0" w14:paraId="1D3B764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3C77F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Nº do processo SEI: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93538" w14:textId="77777777" w:rsidR="00EA68B0" w:rsidRDefault="00EA68B0"/>
        </w:tc>
      </w:tr>
      <w:tr w:rsidR="00EA68B0" w14:paraId="62F7276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34EF24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Servidor que originou a demanda (nome/matrícula):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C6E2CA" w14:textId="77777777" w:rsidR="00EA68B0" w:rsidRDefault="00EA68B0"/>
        </w:tc>
      </w:tr>
      <w:tr w:rsidR="00EA68B0" w14:paraId="2EBE517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AEF029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Cargo/Função: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401DA6" w14:textId="77777777" w:rsidR="00EA68B0" w:rsidRDefault="00EA68B0"/>
        </w:tc>
      </w:tr>
      <w:tr w:rsidR="00EA68B0" w14:paraId="6DC84A0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47BB69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Data de elaboração: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ED970B" w14:textId="77777777" w:rsidR="00EA68B0" w:rsidRDefault="00EA68B0"/>
        </w:tc>
      </w:tr>
      <w:tr w:rsidR="00EA68B0" w14:paraId="05AFC41B" w14:textId="77777777">
        <w:tblPrEx>
          <w:tblBorders>
            <w:top w:val="single" w:sz="4" w:space="0" w:color="BF8F00"/>
            <w:left w:val="single" w:sz="12" w:space="0" w:color="BF8F00"/>
            <w:bottom w:val="single" w:sz="4" w:space="0" w:color="BF8F00"/>
            <w:right w:val="single" w:sz="4" w:space="0" w:color="BF8F00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0" w:type="dxa"/>
          <w:wAfter w:w="90" w:type="dxa"/>
        </w:trPr>
        <w:tc>
          <w:tcPr>
            <w:tcW w:w="9350" w:type="dxa"/>
            <w:gridSpan w:val="2"/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CDB262" w14:textId="77777777" w:rsidR="00EA68B0" w:rsidRDefault="00D02F65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>📌</w:t>
            </w: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 xml:space="preserve"> Nota orientativa</w:t>
            </w:r>
          </w:p>
          <w:p w14:paraId="69413589" w14:textId="77777777" w:rsidR="00EA68B0" w:rsidRDefault="00D02F65"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 xml:space="preserve">A numeração do DFD deve ser sequencial e única por órgão (ex.: DFD 001/2026, DFD 002/2026), permitindo referência cruzada na Planilha de Consolidação (coluna 'Nº DFD') e no processo SEI. Recomenda-se abrir um único processo SEI por órgão para concentrar todos os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DFDs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 xml:space="preserve"> do ciclo, facilitando o controle pela CTPC (art. 4º, § 1º, III, da Portaria SEAD nº 262/2026, que exige registro em ata arquivada no processo SEI de referência). O 'servidor que originou a demanda' identifica quem detectou/descreveu a necessidade na unidade requisitante — trata-se de campo de identificação, e não de assinatura: a formalização e a assinatura do DFD competem à equipe de planejamento de compras do órgão (CTPC), conforme Seção 8.</w:t>
            </w:r>
          </w:p>
        </w:tc>
      </w:tr>
    </w:tbl>
    <w:p w14:paraId="4302F289" w14:textId="77777777" w:rsidR="00EA68B0" w:rsidRDefault="00EA68B0">
      <w:pPr>
        <w:spacing w:after="120"/>
      </w:pPr>
    </w:p>
    <w:p w14:paraId="631F4A7C" w14:textId="77777777" w:rsidR="00EA68B0" w:rsidRDefault="00D02F65">
      <w:pPr>
        <w:pStyle w:val="Ttulo1"/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2. DESCRIÇÃO DO OBJETO — Art. 5º, I, da Portaria SEAD nº 262/2026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50"/>
      </w:tblGrid>
      <w:tr w:rsidR="00EA68B0" w14:paraId="28F6E29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795349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Tipo do Item: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7CE200" w14:textId="77777777" w:rsidR="00EA68B0" w:rsidRDefault="00D02F65"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( )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Material  ( ) Serviço  ( ) Obra  ( ) Serviço de Engenharia  ( ) Solução de TIC  ( ) Locação de Imóveis</w:t>
            </w:r>
          </w:p>
        </w:tc>
      </w:tr>
      <w:tr w:rsidR="00EA68B0" w14:paraId="2924E82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602E86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Código CATMAT/CATSER: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E598D4" w14:textId="77777777" w:rsidR="00EA68B0" w:rsidRDefault="00EA68B0"/>
        </w:tc>
      </w:tr>
      <w:tr w:rsidR="00EA68B0" w14:paraId="401DE4B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EB635C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Descrição sucinta do objeto: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4F7A90" w14:textId="77777777" w:rsidR="00EA68B0" w:rsidRDefault="00EA68B0"/>
        </w:tc>
      </w:tr>
      <w:tr w:rsidR="00EA68B0" w14:paraId="40C4C13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C2ACD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Unidade de fornecimento: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2F102" w14:textId="77777777" w:rsidR="00EA68B0" w:rsidRDefault="00EA68B0"/>
        </w:tc>
      </w:tr>
      <w:tr w:rsidR="00EA68B0" w14:paraId="5958743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34BBE2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Quantidade estimada: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18BEB2" w14:textId="77777777" w:rsidR="00EA68B0" w:rsidRDefault="00EA68B0"/>
        </w:tc>
      </w:tr>
    </w:tbl>
    <w:p w14:paraId="316FAC70" w14:textId="77777777" w:rsidR="00EA68B0" w:rsidRDefault="00D02F65">
      <w:pPr>
        <w:spacing w:after="100"/>
        <w:jc w:val="both"/>
      </w:pPr>
      <w:r>
        <w:rPr>
          <w:rFonts w:ascii="Calibri" w:eastAsia="Calibri" w:hAnsi="Calibri" w:cs="Calibri"/>
          <w:sz w:val="21"/>
          <w:szCs w:val="21"/>
        </w:rPr>
        <w:t>Justificativa da necessidade (Art. 5º, I — obrigatória):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9330"/>
        <w:gridCol w:w="10"/>
      </w:tblGrid>
      <w:tr w:rsidR="00EA68B0" w14:paraId="706A406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93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371696" w14:textId="77777777" w:rsidR="00EA68B0" w:rsidRDefault="00EA68B0"/>
        </w:tc>
      </w:tr>
      <w:tr w:rsidR="00EA68B0" w14:paraId="5C663EAB" w14:textId="77777777">
        <w:tblPrEx>
          <w:tblBorders>
            <w:top w:val="single" w:sz="4" w:space="0" w:color="BF8F00"/>
            <w:left w:val="single" w:sz="12" w:space="0" w:color="BF8F00"/>
            <w:bottom w:val="single" w:sz="4" w:space="0" w:color="BF8F00"/>
            <w:right w:val="single" w:sz="4" w:space="0" w:color="BF8F00"/>
          </w:tblBorders>
          <w:tblCellMar>
            <w:top w:w="0" w:type="dxa"/>
            <w:bottom w:w="0" w:type="dxa"/>
          </w:tblCellMar>
        </w:tblPrEx>
        <w:trPr>
          <w:gridBefore w:val="1"/>
          <w:wBefore w:w="10" w:type="dxa"/>
        </w:trPr>
        <w:tc>
          <w:tcPr>
            <w:tcW w:w="9350" w:type="dxa"/>
            <w:gridSpan w:val="2"/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365776" w14:textId="77777777" w:rsidR="00EA68B0" w:rsidRDefault="00D02F65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>📌</w:t>
            </w: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 xml:space="preserve"> Nota orientativa</w:t>
            </w:r>
          </w:p>
          <w:p w14:paraId="3AC616D2" w14:textId="77777777" w:rsidR="00EA68B0" w:rsidRDefault="00D02F65"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lastRenderedPageBreak/>
              <w:t>Distinga com cuidado 'Obra' de 'Serviço de Engenharia': OBRA é a construção, ampliação ou reforma estrutural de um bem imóvel; SERVIÇO DE ENGENHARIA é atividade de manutenção, reparo ou instalação que não altera a estrutura (ex.: manutenção predial, instalação elétrica). A classificação incorreta compromete a modalidade licitatória cabível. O código CATMAT/CATSER deve ser consultado em catalogo.compras.gov.br/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cnbs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-web/busca; se não localizado, deixe em branco e informe a DIP na submissão do DFD. A justificativa deve relacionar objetivamente a contratação às atividades finalísticas da unidade — evite descrições genéricas como 'necessário ao funcionamento', pois órgãos de controle exigem motivação individualizada (art. 2º e 22 da Lei Federal nº 9.784/1999).</w:t>
            </w:r>
          </w:p>
        </w:tc>
      </w:tr>
    </w:tbl>
    <w:p w14:paraId="597F11CB" w14:textId="77777777" w:rsidR="00EA68B0" w:rsidRDefault="00EA68B0">
      <w:pPr>
        <w:spacing w:after="120"/>
      </w:pPr>
    </w:p>
    <w:p w14:paraId="7ADA7342" w14:textId="77777777" w:rsidR="00EA68B0" w:rsidRDefault="00D02F65">
      <w:pPr>
        <w:pStyle w:val="Ttulo1"/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3. GRAU DE PRIORIDADE — Art. 3º, XII, e Art. 5º, II, da Portaria SEAD nº 262/2026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50"/>
      </w:tblGrid>
      <w:tr w:rsidR="00EA68B0" w14:paraId="7D4A5A3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849500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Classificação: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4FBBD" w14:textId="77777777" w:rsidR="00EA68B0" w:rsidRDefault="00D02F65"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( )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ALTA   ( ) MÉDIA   ( ) BAIXA</w:t>
            </w:r>
          </w:p>
        </w:tc>
      </w:tr>
    </w:tbl>
    <w:p w14:paraId="2874315F" w14:textId="77777777" w:rsidR="00EA68B0" w:rsidRDefault="00D02F65">
      <w:pPr>
        <w:spacing w:after="100"/>
        <w:jc w:val="both"/>
      </w:pPr>
      <w:r>
        <w:rPr>
          <w:rFonts w:ascii="Calibri" w:eastAsia="Calibri" w:hAnsi="Calibri" w:cs="Calibri"/>
          <w:sz w:val="21"/>
          <w:szCs w:val="21"/>
        </w:rPr>
        <w:t>Justificativa de prioridade (OBRIGATÓRIA quando o grau for ALTA — Art. 5º, II):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9330"/>
        <w:gridCol w:w="10"/>
      </w:tblGrid>
      <w:tr w:rsidR="00EA68B0" w14:paraId="128E918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93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96DC50" w14:textId="77777777" w:rsidR="00EA68B0" w:rsidRDefault="00EA68B0"/>
        </w:tc>
      </w:tr>
      <w:tr w:rsidR="00EA68B0" w14:paraId="362E0C7E" w14:textId="77777777">
        <w:tblPrEx>
          <w:tblBorders>
            <w:top w:val="single" w:sz="4" w:space="0" w:color="BF8F00"/>
            <w:left w:val="single" w:sz="12" w:space="0" w:color="BF8F00"/>
            <w:bottom w:val="single" w:sz="4" w:space="0" w:color="BF8F00"/>
            <w:right w:val="single" w:sz="4" w:space="0" w:color="BF8F00"/>
          </w:tblBorders>
          <w:tblCellMar>
            <w:top w:w="0" w:type="dxa"/>
            <w:bottom w:w="0" w:type="dxa"/>
          </w:tblCellMar>
        </w:tblPrEx>
        <w:trPr>
          <w:gridBefore w:val="1"/>
          <w:wBefore w:w="10" w:type="dxa"/>
        </w:trPr>
        <w:tc>
          <w:tcPr>
            <w:tcW w:w="9350" w:type="dxa"/>
            <w:gridSpan w:val="2"/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719ED2" w14:textId="77777777" w:rsidR="00EA68B0" w:rsidRDefault="00D02F65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>📌</w:t>
            </w: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 xml:space="preserve"> Nota orientativa</w:t>
            </w:r>
          </w:p>
          <w:p w14:paraId="5BE6894C" w14:textId="77777777" w:rsidR="00EA68B0" w:rsidRDefault="00D02F65"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ALTA = contratação imprescindível ao funcionamento da instituição, cuja não realização compromete serviços essenciais. MÉDIA = necessária à melhoria do desempenho das atividades finalísticas, cuja não realização implica prejuízo significativo. BAIXA = aperfeiçoamento da gestão, sem prejuízo imediato aos serviços (art. 3º, XII, 'a' a 'c'). A classificação ALTA sem justificativa individualizada será devolvida pela CTPC/DIP para complementação — não decorre automaticamente da natureza do objeto (água, energia,</w:t>
            </w:r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 xml:space="preserve"> TI etc.), mas do impacto concreto de sua ausência para a unidade requisitante.</w:t>
            </w:r>
          </w:p>
        </w:tc>
      </w:tr>
    </w:tbl>
    <w:p w14:paraId="1FA20D20" w14:textId="77777777" w:rsidR="00EA68B0" w:rsidRDefault="00EA68B0">
      <w:pPr>
        <w:spacing w:after="120"/>
      </w:pPr>
    </w:p>
    <w:p w14:paraId="26DE45D1" w14:textId="77777777" w:rsidR="00EA68B0" w:rsidRDefault="00D02F65">
      <w:pPr>
        <w:pStyle w:val="Ttulo1"/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4. ESTIMATIVA PRELIMINAR DE VALOR — Art. 5º, III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572"/>
        <w:gridCol w:w="6679"/>
        <w:gridCol w:w="89"/>
      </w:tblGrid>
      <w:tr w:rsidR="00EA68B0" w14:paraId="0553F93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291774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Valor unitário estimado (R$):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757D48" w14:textId="77777777" w:rsidR="00EA68B0" w:rsidRDefault="00EA68B0"/>
        </w:tc>
      </w:tr>
      <w:tr w:rsidR="00EA68B0" w14:paraId="5E72FF0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8C8674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Valor total estimado (R$):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ED0F5" w14:textId="77777777" w:rsidR="00EA68B0" w:rsidRDefault="00EA68B0"/>
        </w:tc>
      </w:tr>
      <w:tr w:rsidR="00EA68B0" w14:paraId="21E642A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AF75F7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Fonte de preço utilizada: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4D7DF6" w14:textId="77777777" w:rsidR="00EA68B0" w:rsidRDefault="00D02F65"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( )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Painel de Preços  ( ) Contratações similares  ( ) Pesquisa de mercado  ( ) Outra fonte legalmente admitida</w:t>
            </w:r>
          </w:p>
        </w:tc>
      </w:tr>
      <w:tr w:rsidR="00EA68B0" w14:paraId="2BEACBC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98A783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Fonte de recursos orçamentários: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5F1D11" w14:textId="77777777" w:rsidR="00EA68B0" w:rsidRDefault="00EA68B0"/>
        </w:tc>
      </w:tr>
      <w:tr w:rsidR="00EA68B0" w14:paraId="5EAFC760" w14:textId="77777777">
        <w:tblPrEx>
          <w:tblBorders>
            <w:top w:val="single" w:sz="4" w:space="0" w:color="BF8F00"/>
            <w:left w:val="single" w:sz="12" w:space="0" w:color="BF8F00"/>
            <w:bottom w:val="single" w:sz="4" w:space="0" w:color="BF8F00"/>
            <w:right w:val="single" w:sz="4" w:space="0" w:color="BF8F00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0" w:type="dxa"/>
          <w:wAfter w:w="90" w:type="dxa"/>
        </w:trPr>
        <w:tc>
          <w:tcPr>
            <w:tcW w:w="9350" w:type="dxa"/>
            <w:gridSpan w:val="2"/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993AE8" w14:textId="77777777" w:rsidR="00EA68B0" w:rsidRDefault="00D02F65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>📌</w:t>
            </w: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 xml:space="preserve"> Nota orientativa</w:t>
            </w:r>
          </w:p>
          <w:p w14:paraId="3675C267" w14:textId="77777777" w:rsidR="00EA68B0" w:rsidRDefault="00D02F65"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O art. 5º, III, admite 'procedimento simplificado com fonte de preço legalmente admitida' nesta fase — não se exige, no DFD, a pesquisa de preços formal e completa que instrui o Termo de Referência/Estudo Técnico Preliminar (ETP). O objetivo aqui é apenas dimensionar o valor para fins de consolidação orçamentária do PCA e subsídio à LOA/2027 (art. 6º, IV, e art. 11, IV, da Portaria). Valores manifestamente irreais (super ou subestimados) distorcem o Resumo Consolidado e podem comprometer a análise da CTPC.</w:t>
            </w:r>
          </w:p>
        </w:tc>
      </w:tr>
    </w:tbl>
    <w:p w14:paraId="1880A58A" w14:textId="77777777" w:rsidR="00EA68B0" w:rsidRDefault="00EA68B0">
      <w:pPr>
        <w:spacing w:after="120"/>
      </w:pPr>
    </w:p>
    <w:p w14:paraId="1A5B55AF" w14:textId="77777777" w:rsidR="00EA68B0" w:rsidRDefault="00D02F65">
      <w:pPr>
        <w:pStyle w:val="Ttulo1"/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5. PRAZO E VINCULAÇÃO — Art. 5º, IV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582"/>
        <w:gridCol w:w="6669"/>
        <w:gridCol w:w="89"/>
      </w:tblGrid>
      <w:tr w:rsidR="00EA68B0" w14:paraId="204C90F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F2D70B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Data desejada para a contratação: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308AE0" w14:textId="77777777" w:rsidR="00EA68B0" w:rsidRDefault="00EA68B0"/>
        </w:tc>
      </w:tr>
      <w:tr w:rsidR="00EA68B0" w14:paraId="633B9FD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620230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Vinculação/dependência com outro objeto ou contrato: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FAB698" w14:textId="77777777" w:rsidR="00EA68B0" w:rsidRDefault="00D02F65"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( )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Não há  ( ) Há vinculação – especificar:</w:t>
            </w:r>
          </w:p>
        </w:tc>
      </w:tr>
      <w:tr w:rsidR="00EA68B0" w14:paraId="41AA0A5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6ECA0E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lastRenderedPageBreak/>
              <w:t>Trata-se de renovação contratual?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4A263F" w14:textId="77777777" w:rsidR="00EA68B0" w:rsidRDefault="00D02F65"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( )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Não  ( ) Sim – contrato nº ______, vigência até ____/____/____</w:t>
            </w:r>
          </w:p>
        </w:tc>
      </w:tr>
      <w:tr w:rsidR="00EA68B0" w14:paraId="4119EE95" w14:textId="77777777">
        <w:tblPrEx>
          <w:tblBorders>
            <w:top w:val="single" w:sz="4" w:space="0" w:color="BF8F00"/>
            <w:left w:val="single" w:sz="12" w:space="0" w:color="BF8F00"/>
            <w:bottom w:val="single" w:sz="4" w:space="0" w:color="BF8F00"/>
            <w:right w:val="single" w:sz="4" w:space="0" w:color="BF8F00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0" w:type="dxa"/>
          <w:wAfter w:w="90" w:type="dxa"/>
        </w:trPr>
        <w:tc>
          <w:tcPr>
            <w:tcW w:w="9350" w:type="dxa"/>
            <w:gridSpan w:val="2"/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5B8D93" w14:textId="77777777" w:rsidR="00EA68B0" w:rsidRDefault="00D02F65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>📌</w:t>
            </w: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 xml:space="preserve"> Nota orientativa</w:t>
            </w:r>
          </w:p>
          <w:p w14:paraId="5A531A04" w14:textId="77777777" w:rsidR="00EA68B0" w:rsidRDefault="00D02F65"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 xml:space="preserve">A 'data desejada' é o prazo-limite para a formalização da contratação (assinatura do contrato/ata/empenho), considerando o tempo necessário para ETP, Termo de Referência, licitação e trâmites que antecedem a assinatura (art. 3º, III). Para o ciclo transitório 2027, a aprovação final do PCA ocorre até 15/09/2026 (art. 11, III) — planeje a data desejada com folga suficiente para os trâmites internos após essa data. Renovações contratuais também devem ser registradas no PCA (art. 3º, IX) — não são dispensadas </w:t>
            </w:r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de registro.</w:t>
            </w:r>
          </w:p>
        </w:tc>
      </w:tr>
    </w:tbl>
    <w:p w14:paraId="1AE2AFE2" w14:textId="77777777" w:rsidR="00EA68B0" w:rsidRDefault="00EA68B0">
      <w:pPr>
        <w:spacing w:after="120"/>
      </w:pPr>
    </w:p>
    <w:p w14:paraId="05823E35" w14:textId="77777777" w:rsidR="00EA68B0" w:rsidRDefault="00D02F65">
      <w:pPr>
        <w:pStyle w:val="Ttulo1"/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6. CRITÉRIOS DE SUSTENTABILIDADE — Art. 5º, V; Decreto Estadual nº 23.891/2025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50"/>
      </w:tblGrid>
      <w:tr w:rsidR="00EA68B0" w14:paraId="1C3AB7E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992735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Aplicação de critérios de sustentabilidade: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81FFAF" w14:textId="77777777" w:rsidR="00EA68B0" w:rsidRDefault="00D02F65"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( )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Sim – critérios já definidos  ( ) Aplicável – a detalhar no ETP  ( ) Não se aplica ao objeto</w:t>
            </w:r>
          </w:p>
        </w:tc>
      </w:tr>
    </w:tbl>
    <w:p w14:paraId="13AE4F99" w14:textId="77777777" w:rsidR="00EA68B0" w:rsidRDefault="00D02F65">
      <w:pPr>
        <w:spacing w:after="100"/>
        <w:jc w:val="both"/>
      </w:pPr>
      <w:r>
        <w:rPr>
          <w:rFonts w:ascii="Calibri" w:eastAsia="Calibri" w:hAnsi="Calibri" w:cs="Calibri"/>
          <w:sz w:val="21"/>
          <w:szCs w:val="21"/>
        </w:rPr>
        <w:t>Se aplicável, descreva sumariamente os critérios socioambientais a observar na especificação do objeto: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9330"/>
        <w:gridCol w:w="10"/>
      </w:tblGrid>
      <w:tr w:rsidR="00EA68B0" w14:paraId="5529DFB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93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304DEA" w14:textId="77777777" w:rsidR="00EA68B0" w:rsidRDefault="00EA68B0"/>
        </w:tc>
      </w:tr>
      <w:tr w:rsidR="00EA68B0" w14:paraId="7C75FBAF" w14:textId="77777777">
        <w:tblPrEx>
          <w:tblBorders>
            <w:top w:val="single" w:sz="4" w:space="0" w:color="BF8F00"/>
            <w:left w:val="single" w:sz="12" w:space="0" w:color="BF8F00"/>
            <w:bottom w:val="single" w:sz="4" w:space="0" w:color="BF8F00"/>
            <w:right w:val="single" w:sz="4" w:space="0" w:color="BF8F00"/>
          </w:tblBorders>
          <w:tblCellMar>
            <w:top w:w="0" w:type="dxa"/>
            <w:bottom w:w="0" w:type="dxa"/>
          </w:tblCellMar>
        </w:tblPrEx>
        <w:trPr>
          <w:gridBefore w:val="1"/>
          <w:wBefore w:w="10" w:type="dxa"/>
        </w:trPr>
        <w:tc>
          <w:tcPr>
            <w:tcW w:w="9350" w:type="dxa"/>
            <w:gridSpan w:val="2"/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78B49E" w14:textId="77777777" w:rsidR="00EA68B0" w:rsidRDefault="00D02F65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>📌</w:t>
            </w: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 xml:space="preserve"> Nota orientativa</w:t>
            </w:r>
          </w:p>
          <w:p w14:paraId="2BB5E745" w14:textId="77777777" w:rsidR="00EA68B0" w:rsidRDefault="00D02F65"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Este campo é de preenchimento obrigatório para TODOS os itens — o art. 5º, V, não excepciona objetos que 'não teriam' critério de sustentabilidade; nesses casos, marque 'Não se aplica ao objeto' e registre por que (ex.: serviço sem alternativa de menor impacto ambiental disponível no mercado). O detalhamento técnico completo dos critérios (certificações, eficiência energética, logística reversa etc.) será desenvolvido no Estudo Técnico Preliminar; aqui basta sinalizar a intenção, para fins de consolidação e</w:t>
            </w:r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statística do PCA.</w:t>
            </w:r>
          </w:p>
        </w:tc>
      </w:tr>
    </w:tbl>
    <w:p w14:paraId="55455C90" w14:textId="77777777" w:rsidR="00EA68B0" w:rsidRDefault="00EA68B0">
      <w:pPr>
        <w:spacing w:after="120"/>
      </w:pPr>
    </w:p>
    <w:p w14:paraId="60FCE10B" w14:textId="77777777" w:rsidR="00EA68B0" w:rsidRDefault="00D02F65">
      <w:pPr>
        <w:pStyle w:val="Ttulo1"/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7. MODALIDADE PREVISTA E OBSERVAÇÕES COMPLEMENTARES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578"/>
        <w:gridCol w:w="6673"/>
        <w:gridCol w:w="89"/>
      </w:tblGrid>
      <w:tr w:rsidR="00EA68B0" w14:paraId="171DC90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524FF1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Modalidade licitatória/hipótese de contratação direta prevista: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D1AE6F" w14:textId="77777777" w:rsidR="00EA68B0" w:rsidRDefault="00EA68B0"/>
        </w:tc>
      </w:tr>
      <w:tr w:rsidR="00EA68B0" w14:paraId="3B7C146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gridSpan w:val="2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B57F7C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Observações complementares:</w:t>
            </w:r>
          </w:p>
        </w:tc>
        <w:tc>
          <w:tcPr>
            <w:tcW w:w="6750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E89A82" w14:textId="77777777" w:rsidR="00EA68B0" w:rsidRDefault="00EA68B0"/>
        </w:tc>
      </w:tr>
      <w:tr w:rsidR="00EA68B0" w14:paraId="409F1DDD" w14:textId="77777777">
        <w:tblPrEx>
          <w:tblBorders>
            <w:top w:val="single" w:sz="4" w:space="0" w:color="BF8F00"/>
            <w:left w:val="single" w:sz="12" w:space="0" w:color="BF8F00"/>
            <w:bottom w:val="single" w:sz="4" w:space="0" w:color="BF8F00"/>
            <w:right w:val="single" w:sz="4" w:space="0" w:color="BF8F00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0" w:type="dxa"/>
          <w:wAfter w:w="90" w:type="dxa"/>
        </w:trPr>
        <w:tc>
          <w:tcPr>
            <w:tcW w:w="9350" w:type="dxa"/>
            <w:gridSpan w:val="2"/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280046" w14:textId="77777777" w:rsidR="00EA68B0" w:rsidRDefault="00D02F65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>📌</w:t>
            </w: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 xml:space="preserve"> Nota orientativa</w:t>
            </w:r>
          </w:p>
          <w:p w14:paraId="739F4821" w14:textId="77777777" w:rsidR="00EA68B0" w:rsidRDefault="00D02F65"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A modalidade indicada nesta fase é uma previsão inicial, sujeita a confirmação técnica pela unidade de licitações no momento da instrução do processo de contratação (art. 9º da Portaria). Não é vinculante, mas orienta o planejamento e o dimensionamento de prazos da CTPC.</w:t>
            </w:r>
          </w:p>
        </w:tc>
      </w:tr>
    </w:tbl>
    <w:p w14:paraId="33497523" w14:textId="77777777" w:rsidR="00EA68B0" w:rsidRDefault="00EA68B0">
      <w:pPr>
        <w:spacing w:after="120"/>
      </w:pPr>
    </w:p>
    <w:p w14:paraId="241F8EFE" w14:textId="77777777" w:rsidR="00EA68B0" w:rsidRDefault="00D02F65">
      <w:pPr>
        <w:pStyle w:val="Ttulo1"/>
        <w:spacing w:before="260" w:after="100"/>
      </w:pPr>
      <w:r>
        <w:rPr>
          <w:rFonts w:ascii="Calibri" w:eastAsia="Calibri" w:hAnsi="Calibri" w:cs="Calibri"/>
          <w:b/>
          <w:bCs/>
          <w:color w:val="1F3864"/>
        </w:rPr>
        <w:t>8. FORMALIZAÇÃO, ANÁLISE TÉCNICA E ASSINATURA</w:t>
      </w:r>
    </w:p>
    <w:p w14:paraId="69BD607E" w14:textId="77777777" w:rsidR="00EA68B0" w:rsidRDefault="00D02F65">
      <w:pPr>
        <w:spacing w:after="100"/>
        <w:jc w:val="both"/>
      </w:pPr>
      <w:r>
        <w:rPr>
          <w:rFonts w:ascii="Calibri" w:eastAsia="Calibri" w:hAnsi="Calibri" w:cs="Calibri"/>
          <w:sz w:val="21"/>
          <w:szCs w:val="21"/>
        </w:rPr>
        <w:t>A demanda descrita neste documento foi analisada quanto à sua consistência técnica, à agregação de valor e ao alinhamento estratégico, e é formalizada pela Comissão Técnica de Planejamento de Contratações (equipe de planejamento de compras do órgão), nos termos do art. 3º, V e VI, e do art. 4º, § 2º, da Portaria SEAD nº 262/2026/GAB/SEAD, que atesta a veracidade das informações e a real necessidade da contratação para o exercício de 2027.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50"/>
      </w:tblGrid>
      <w:tr w:rsidR="00EA68B0" w14:paraId="77122E9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2BA0C9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Análise técnica e agregação de valor: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C3FEC9" w14:textId="77777777" w:rsidR="00EA68B0" w:rsidRDefault="00D02F65"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( )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Aprovado sem ressalvas  ( ) Aprovado com ajustes (ver observações)  ( ) Devolvido para complementação</w:t>
            </w:r>
          </w:p>
        </w:tc>
      </w:tr>
      <w:tr w:rsidR="00EA68B0" w14:paraId="3E4B39C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928BA9" w14:textId="77777777" w:rsidR="00EA68B0" w:rsidRDefault="00D02F65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lastRenderedPageBreak/>
              <w:t>Observações da Comissão Técnica de Planejamento de Contratações: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04916A" w14:textId="77777777" w:rsidR="00EA68B0" w:rsidRDefault="00EA68B0"/>
        </w:tc>
      </w:tr>
    </w:tbl>
    <w:p w14:paraId="66F3FF20" w14:textId="77777777" w:rsidR="00EA68B0" w:rsidRDefault="00D02F65">
      <w:pPr>
        <w:spacing w:before="400" w:after="40"/>
        <w:jc w:val="center"/>
      </w:pPr>
      <w:r>
        <w:rPr>
          <w:rFonts w:ascii="Calibri" w:eastAsia="Calibri" w:hAnsi="Calibri" w:cs="Calibri"/>
        </w:rPr>
        <w:t>_______________________________________________</w:t>
      </w:r>
    </w:p>
    <w:p w14:paraId="398F502F" w14:textId="77777777" w:rsidR="00EA68B0" w:rsidRDefault="00D02F65">
      <w:pPr>
        <w:spacing w:after="300"/>
        <w:jc w:val="center"/>
      </w:pPr>
      <w:r>
        <w:rPr>
          <w:rFonts w:ascii="Calibri" w:eastAsia="Calibri" w:hAnsi="Calibri" w:cs="Calibri"/>
          <w:i/>
          <w:iCs/>
          <w:sz w:val="18"/>
          <w:szCs w:val="18"/>
        </w:rPr>
        <w:t>Presidente da Comissão Técnica de Planejamento de Contratações (CTPC) Equipe de Planejamento de Compras do Órgão/Entidade</w:t>
      </w:r>
    </w:p>
    <w:p w14:paraId="4A03E195" w14:textId="77777777" w:rsidR="00EA68B0" w:rsidRDefault="00D02F65">
      <w:pPr>
        <w:spacing w:before="200" w:after="40"/>
        <w:jc w:val="center"/>
      </w:pPr>
      <w:r>
        <w:rPr>
          <w:rFonts w:ascii="Calibri" w:eastAsia="Calibri" w:hAnsi="Calibri" w:cs="Calibri"/>
        </w:rPr>
        <w:t>_______________________________________________</w:t>
      </w:r>
    </w:p>
    <w:p w14:paraId="11F1E80D" w14:textId="77777777" w:rsidR="00EA68B0" w:rsidRDefault="00D02F65">
      <w:pPr>
        <w:jc w:val="center"/>
      </w:pPr>
      <w:r>
        <w:rPr>
          <w:rFonts w:ascii="Calibri" w:eastAsia="Calibri" w:hAnsi="Calibri" w:cs="Calibri"/>
          <w:i/>
          <w:iCs/>
          <w:sz w:val="18"/>
          <w:szCs w:val="18"/>
        </w:rPr>
        <w:t>Membro da CTPC — Área de Gestão/Orçamento e Finanças/Licitações e Contratos</w:t>
      </w:r>
    </w:p>
    <w:tbl>
      <w:tblPr>
        <w:tblW w:w="9350" w:type="dxa"/>
        <w:tblBorders>
          <w:top w:val="single" w:sz="4" w:space="0" w:color="BF8F00"/>
          <w:left w:val="single" w:sz="12" w:space="0" w:color="BF8F00"/>
          <w:bottom w:val="single" w:sz="4" w:space="0" w:color="BF8F00"/>
          <w:right w:val="single" w:sz="4" w:space="0" w:color="BF8F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EA68B0" w14:paraId="79405A8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5FE2D0" w14:textId="77777777" w:rsidR="00EA68B0" w:rsidRDefault="00D02F65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>📌</w:t>
            </w:r>
            <w:r>
              <w:rPr>
                <w:rFonts w:ascii="Calibri" w:eastAsia="Calibri" w:hAnsi="Calibri" w:cs="Calibri"/>
                <w:b/>
                <w:bCs/>
                <w:color w:val="7F6000"/>
                <w:sz w:val="19"/>
                <w:szCs w:val="19"/>
              </w:rPr>
              <w:t xml:space="preserve"> Nota orientativa final</w:t>
            </w:r>
          </w:p>
          <w:p w14:paraId="618CFFDB" w14:textId="77777777" w:rsidR="00EA68B0" w:rsidRDefault="00D02F65"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Nos termos do art. 4º, caput, da Portaria SEAD nº 262/2026, cada órgão designa formalmente sua CTPC, composta obrigatoriamente por representantes das áreas de gestão, orçamento e finanças, e licitações e contratos — essa equipe de planejamento de compras é quem assina e formaliza o DFD perante a Diretoria de Planejamento de Compras Públicas, e não o servidor da unidade requisitante isoladamente (este apenas origina e descreve a necessidade, conforme Seção 1). A 'agregação de valor' (art. 3º, V) é a etapa em</w:t>
            </w:r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 xml:space="preserve"> que a CTPC compila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>DFDs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4100"/>
                <w:sz w:val="18"/>
                <w:szCs w:val="18"/>
              </w:rPr>
              <w:t xml:space="preserve"> de mesma natureza vindos de diferentes unidades, avaliando oportunidades de padronização e contratação conjunta antes da consolidação no PCA — evitando fracionamento de despesas e viabilizando ganho de escala, inclusive por meio de Sistema de Registro de Preços (SRP) e adesão a Atas centralizadas pela SLC/SEAD-PI, na sua função de Central de Compras do Estado.</w:t>
            </w:r>
          </w:p>
        </w:tc>
      </w:tr>
    </w:tbl>
    <w:p w14:paraId="34DE1BC7" w14:textId="77777777" w:rsidR="00D02F65" w:rsidRDefault="00D02F65"/>
    <w:sectPr w:rsidR="00000000">
      <w:headerReference w:type="default" r:id="rId7"/>
      <w:footerReference w:type="default" r:id="rId8"/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9ED35" w14:textId="77777777" w:rsidR="00D02F65" w:rsidRDefault="00D02F65">
      <w:r>
        <w:separator/>
      </w:r>
    </w:p>
  </w:endnote>
  <w:endnote w:type="continuationSeparator" w:id="0">
    <w:p w14:paraId="29AB68DE" w14:textId="77777777" w:rsidR="00D02F65" w:rsidRDefault="00D02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820D" w14:textId="77777777" w:rsidR="00EA68B0" w:rsidRDefault="00D02F65">
    <w:pPr>
      <w:jc w:val="center"/>
    </w:pPr>
    <w:r>
      <w:rPr>
        <w:rFonts w:ascii="Calibri" w:eastAsia="Calibri" w:hAnsi="Calibri" w:cs="Calibri"/>
        <w:color w:val="595959"/>
        <w:sz w:val="16"/>
        <w:szCs w:val="16"/>
      </w:rPr>
      <w:t xml:space="preserve">Modelo Padronizado de DFD com Notas Orientativas – Portaria SEAD nº 262/2026, art. 5º | Página </w:t>
    </w:r>
    <w:r>
      <w:rPr>
        <w:rFonts w:ascii="Calibri" w:eastAsia="Calibri" w:hAnsi="Calibri" w:cs="Calibri"/>
        <w:color w:val="595959"/>
        <w:sz w:val="16"/>
        <w:szCs w:val="16"/>
      </w:rPr>
      <w:fldChar w:fldCharType="begin"/>
    </w:r>
    <w:r>
      <w:rPr>
        <w:rFonts w:ascii="Calibri" w:eastAsia="Calibri" w:hAnsi="Calibri" w:cs="Calibri"/>
        <w:color w:val="595959"/>
        <w:sz w:val="16"/>
        <w:szCs w:val="16"/>
      </w:rPr>
      <w:instrText>PAGE</w:instrText>
    </w:r>
    <w:r>
      <w:rPr>
        <w:rFonts w:ascii="Calibri" w:eastAsia="Calibri" w:hAnsi="Calibri" w:cs="Calibri"/>
        <w:color w:val="595959"/>
        <w:sz w:val="16"/>
        <w:szCs w:val="16"/>
      </w:rPr>
      <w:fldChar w:fldCharType="separate"/>
    </w:r>
    <w:r>
      <w:rPr>
        <w:rFonts w:ascii="Calibri" w:eastAsia="Calibri" w:hAnsi="Calibri" w:cs="Calibri"/>
        <w:noProof/>
        <w:color w:val="595959"/>
        <w:sz w:val="16"/>
        <w:szCs w:val="16"/>
      </w:rPr>
      <w:t>1</w:t>
    </w:r>
    <w:r>
      <w:rPr>
        <w:rFonts w:ascii="Calibri" w:eastAsia="Calibri" w:hAnsi="Calibri" w:cs="Calibri"/>
        <w:color w:val="595959"/>
        <w:sz w:val="16"/>
        <w:szCs w:val="16"/>
      </w:rPr>
      <w:fldChar w:fldCharType="end"/>
    </w:r>
    <w:r>
      <w:rPr>
        <w:rFonts w:ascii="Calibri" w:eastAsia="Calibri" w:hAnsi="Calibri" w:cs="Calibri"/>
        <w:color w:val="595959"/>
        <w:sz w:val="16"/>
        <w:szCs w:val="16"/>
      </w:rPr>
      <w:t xml:space="preserve"> de </w:t>
    </w:r>
    <w:r>
      <w:rPr>
        <w:rFonts w:ascii="Calibri" w:eastAsia="Calibri" w:hAnsi="Calibri" w:cs="Calibri"/>
        <w:color w:val="595959"/>
        <w:sz w:val="16"/>
        <w:szCs w:val="16"/>
      </w:rPr>
      <w:fldChar w:fldCharType="begin"/>
    </w:r>
    <w:r>
      <w:rPr>
        <w:rFonts w:ascii="Calibri" w:eastAsia="Calibri" w:hAnsi="Calibri" w:cs="Calibri"/>
        <w:color w:val="595959"/>
        <w:sz w:val="16"/>
        <w:szCs w:val="16"/>
      </w:rPr>
      <w:instrText>NUMPAGES</w:instrText>
    </w:r>
    <w:r>
      <w:rPr>
        <w:rFonts w:ascii="Calibri" w:eastAsia="Calibri" w:hAnsi="Calibri" w:cs="Calibri"/>
        <w:color w:val="595959"/>
        <w:sz w:val="16"/>
        <w:szCs w:val="16"/>
      </w:rPr>
      <w:fldChar w:fldCharType="separate"/>
    </w:r>
    <w:r>
      <w:rPr>
        <w:rFonts w:ascii="Calibri" w:eastAsia="Calibri" w:hAnsi="Calibri" w:cs="Calibri"/>
        <w:noProof/>
        <w:color w:val="595959"/>
        <w:sz w:val="16"/>
        <w:szCs w:val="16"/>
      </w:rPr>
      <w:t>2</w:t>
    </w:r>
    <w:r>
      <w:rPr>
        <w:rFonts w:ascii="Calibri" w:eastAsia="Calibri" w:hAnsi="Calibri" w:cs="Calibri"/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B3470" w14:textId="77777777" w:rsidR="00D02F65" w:rsidRDefault="00D02F65">
      <w:r>
        <w:separator/>
      </w:r>
    </w:p>
  </w:footnote>
  <w:footnote w:type="continuationSeparator" w:id="0">
    <w:p w14:paraId="5781C85A" w14:textId="77777777" w:rsidR="00D02F65" w:rsidRDefault="00D02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AEF84" w14:textId="77777777" w:rsidR="00EA68B0" w:rsidRDefault="00D02F65">
    <w:pPr>
      <w:spacing w:after="60"/>
      <w:jc w:val="center"/>
    </w:pPr>
    <w:r>
      <w:rPr>
        <w:noProof/>
      </w:rPr>
      <w:drawing>
        <wp:inline distT="0" distB="0" distL="0" distR="0" wp14:anchorId="4139E499" wp14:editId="65038C22">
          <wp:extent cx="523875" cy="6000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F3734B" w14:textId="77777777" w:rsidR="00EA68B0" w:rsidRDefault="00D02F65">
    <w:pPr>
      <w:jc w:val="center"/>
    </w:pPr>
    <w:r>
      <w:rPr>
        <w:rFonts w:ascii="Calibri" w:eastAsia="Calibri" w:hAnsi="Calibri" w:cs="Calibri"/>
        <w:b/>
        <w:bCs/>
        <w:color w:val="1F3864"/>
        <w:sz w:val="17"/>
        <w:szCs w:val="17"/>
      </w:rPr>
      <w:t>GOVERNO DO ESTADO DO PIAUÍ</w:t>
    </w:r>
  </w:p>
  <w:p w14:paraId="559AE401" w14:textId="77777777" w:rsidR="00EA68B0" w:rsidRDefault="00D02F65">
    <w:pPr>
      <w:jc w:val="center"/>
    </w:pPr>
    <w:r>
      <w:rPr>
        <w:rFonts w:ascii="Calibri" w:eastAsia="Calibri" w:hAnsi="Calibri" w:cs="Calibri"/>
        <w:b/>
        <w:bCs/>
        <w:color w:val="1F3864"/>
        <w:sz w:val="16"/>
        <w:szCs w:val="16"/>
      </w:rPr>
      <w:t>SECRETARIA DE ADMINISTRAÇÃO DO ESTADO DO PIAUÍ – SEAD-PI</w:t>
    </w:r>
  </w:p>
  <w:p w14:paraId="3229D973" w14:textId="76E8FAAF" w:rsidR="00EA68B0" w:rsidRDefault="00D02F65">
    <w:pPr>
      <w:spacing w:after="120"/>
      <w:jc w:val="center"/>
    </w:pPr>
    <w:r>
      <w:rPr>
        <w:rFonts w:ascii="Calibri" w:eastAsia="Calibri" w:hAnsi="Calibri" w:cs="Calibri"/>
        <w:color w:val="595959"/>
        <w:sz w:val="15"/>
        <w:szCs w:val="15"/>
      </w:rPr>
      <w:t xml:space="preserve">DIRETORIA DE PLANEJAMENTO DE COMPRAS </w:t>
    </w:r>
    <w:proofErr w:type="gramStart"/>
    <w:r>
      <w:rPr>
        <w:rFonts w:ascii="Calibri" w:eastAsia="Calibri" w:hAnsi="Calibri" w:cs="Calibri"/>
        <w:color w:val="595959"/>
        <w:sz w:val="15"/>
        <w:szCs w:val="15"/>
      </w:rPr>
      <w:t>PÚBLICAS</w:t>
    </w:r>
    <w:r>
      <w:rPr>
        <w:rFonts w:ascii="Calibri" w:eastAsia="Calibri" w:hAnsi="Calibri" w:cs="Calibri"/>
        <w:color w:val="595959"/>
        <w:sz w:val="15"/>
        <w:szCs w:val="15"/>
      </w:rPr>
      <w:t xml:space="preserve">  -</w:t>
    </w:r>
    <w:proofErr w:type="gramEnd"/>
    <w:r>
      <w:rPr>
        <w:rFonts w:ascii="Calibri" w:eastAsia="Calibri" w:hAnsi="Calibri" w:cs="Calibri"/>
        <w:color w:val="595959"/>
        <w:sz w:val="15"/>
        <w:szCs w:val="15"/>
      </w:rPr>
      <w:t xml:space="preserve"> </w:t>
    </w:r>
    <w:r>
      <w:rPr>
        <w:rFonts w:ascii="Calibri" w:eastAsia="Calibri" w:hAnsi="Calibri" w:cs="Calibri"/>
        <w:color w:val="595959"/>
        <w:sz w:val="15"/>
        <w:szCs w:val="15"/>
      </w:rPr>
      <w:t xml:space="preserve">SUPERINTENDÊNCIA DE LICITAÇÕES E CONTRATOS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4AF"/>
    <w:multiLevelType w:val="hybridMultilevel"/>
    <w:tmpl w:val="896A3B92"/>
    <w:lvl w:ilvl="0" w:tplc="D3E22056">
      <w:start w:val="1"/>
      <w:numFmt w:val="bullet"/>
      <w:lvlText w:val="●"/>
      <w:lvlJc w:val="left"/>
      <w:pPr>
        <w:ind w:left="720" w:hanging="360"/>
      </w:pPr>
    </w:lvl>
    <w:lvl w:ilvl="1" w:tplc="E618C422">
      <w:start w:val="1"/>
      <w:numFmt w:val="bullet"/>
      <w:lvlText w:val="○"/>
      <w:lvlJc w:val="left"/>
      <w:pPr>
        <w:ind w:left="1440" w:hanging="360"/>
      </w:pPr>
    </w:lvl>
    <w:lvl w:ilvl="2" w:tplc="DBA28278">
      <w:start w:val="1"/>
      <w:numFmt w:val="bullet"/>
      <w:lvlText w:val="■"/>
      <w:lvlJc w:val="left"/>
      <w:pPr>
        <w:ind w:left="2160" w:hanging="360"/>
      </w:pPr>
    </w:lvl>
    <w:lvl w:ilvl="3" w:tplc="A22E27BC">
      <w:start w:val="1"/>
      <w:numFmt w:val="bullet"/>
      <w:lvlText w:val="●"/>
      <w:lvlJc w:val="left"/>
      <w:pPr>
        <w:ind w:left="2880" w:hanging="360"/>
      </w:pPr>
    </w:lvl>
    <w:lvl w:ilvl="4" w:tplc="D098E882">
      <w:start w:val="1"/>
      <w:numFmt w:val="bullet"/>
      <w:lvlText w:val="○"/>
      <w:lvlJc w:val="left"/>
      <w:pPr>
        <w:ind w:left="3600" w:hanging="360"/>
      </w:pPr>
    </w:lvl>
    <w:lvl w:ilvl="5" w:tplc="6E60DE90">
      <w:start w:val="1"/>
      <w:numFmt w:val="bullet"/>
      <w:lvlText w:val="■"/>
      <w:lvlJc w:val="left"/>
      <w:pPr>
        <w:ind w:left="4320" w:hanging="360"/>
      </w:pPr>
    </w:lvl>
    <w:lvl w:ilvl="6" w:tplc="BA22193C">
      <w:start w:val="1"/>
      <w:numFmt w:val="bullet"/>
      <w:lvlText w:val="●"/>
      <w:lvlJc w:val="left"/>
      <w:pPr>
        <w:ind w:left="5040" w:hanging="360"/>
      </w:pPr>
    </w:lvl>
    <w:lvl w:ilvl="7" w:tplc="9340A03A">
      <w:start w:val="1"/>
      <w:numFmt w:val="bullet"/>
      <w:lvlText w:val="●"/>
      <w:lvlJc w:val="left"/>
      <w:pPr>
        <w:ind w:left="5760" w:hanging="360"/>
      </w:pPr>
    </w:lvl>
    <w:lvl w:ilvl="8" w:tplc="7B4A589C">
      <w:start w:val="1"/>
      <w:numFmt w:val="bullet"/>
      <w:lvlText w:val="●"/>
      <w:lvlJc w:val="left"/>
      <w:pPr>
        <w:ind w:left="6480" w:hanging="360"/>
      </w:pPr>
    </w:lvl>
  </w:abstractNum>
  <w:num w:numId="1" w16cid:durableId="19778793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B0"/>
    <w:rsid w:val="00A24D19"/>
    <w:rsid w:val="00D02F65"/>
    <w:rsid w:val="00E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EEFB"/>
  <w15:docId w15:val="{77AC357D-B915-4D7A-8E1C-588521EA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02F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2F65"/>
  </w:style>
  <w:style w:type="paragraph" w:styleId="Rodap">
    <w:name w:val="footer"/>
    <w:basedOn w:val="Normal"/>
    <w:link w:val="RodapChar"/>
    <w:uiPriority w:val="99"/>
    <w:unhideWhenUsed/>
    <w:rsid w:val="00D02F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02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1298</Words>
  <Characters>7015</Characters>
  <Application>Microsoft Office Word</Application>
  <DocSecurity>0</DocSecurity>
  <Lines>58</Lines>
  <Paragraphs>16</Paragraphs>
  <ScaleCrop>false</ScaleCrop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Jessica Kelly de Sousa Carvalho</cp:lastModifiedBy>
  <cp:revision>2</cp:revision>
  <dcterms:created xsi:type="dcterms:W3CDTF">2026-08-10T19:06:00Z</dcterms:created>
  <dcterms:modified xsi:type="dcterms:W3CDTF">2026-08-10T19:06:00Z</dcterms:modified>
</cp:coreProperties>
</file>