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E43B5" w14:textId="77777777" w:rsidR="009148D9" w:rsidRPr="00220682" w:rsidRDefault="009148D9" w:rsidP="009148D9">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TERMO DE REFERÊNCIA DE BENS</w:t>
      </w:r>
    </w:p>
    <w:p w14:paraId="292831E0" w14:textId="77777777" w:rsidR="009148D9" w:rsidRPr="00220682" w:rsidRDefault="009148D9" w:rsidP="009148D9">
      <w:pPr>
        <w:spacing w:line="360"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 DO EDITAL</w:t>
      </w:r>
    </w:p>
    <w:p w14:paraId="060E1DEB" w14:textId="77777777" w:rsidR="009148D9" w:rsidRDefault="009148D9" w:rsidP="009148D9">
      <w:pPr>
        <w:spacing w:line="360"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SECRETARIA DE ESTADO [Indicar o órgão]</w:t>
      </w:r>
    </w:p>
    <w:p w14:paraId="669E750B" w14:textId="77777777" w:rsidR="009148D9" w:rsidRPr="00220682" w:rsidRDefault="009148D9" w:rsidP="009148D9">
      <w:pPr>
        <w:spacing w:line="360" w:lineRule="auto"/>
        <w:jc w:val="center"/>
        <w:rPr>
          <w:rFonts w:ascii="Times New Roman" w:hAnsi="Times New Roman"/>
          <w:kern w:val="0"/>
          <w:sz w:val="24"/>
          <w:szCs w:val="24"/>
          <w:lang w:eastAsia="pt-BR"/>
        </w:rPr>
      </w:pPr>
    </w:p>
    <w:p w14:paraId="67FD1B6F"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220682">
        <w:rPr>
          <w:rFonts w:ascii="Times New Roman" w:hAnsi="Times New Roman"/>
          <w:b/>
          <w:bCs/>
          <w:kern w:val="0"/>
          <w:sz w:val="24"/>
          <w:szCs w:val="24"/>
          <w:lang w:eastAsia="pt-BR"/>
        </w:rPr>
        <w:t>DAS CONDIÇÕES GERAIS: </w:t>
      </w:r>
    </w:p>
    <w:p w14:paraId="74125580"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O objeto deste Termo de Referência é a escolha da proposta mais vantajosa para aquisição de </w:t>
      </w:r>
      <w:r w:rsidRPr="00220682">
        <w:rPr>
          <w:rFonts w:ascii="Times New Roman" w:hAnsi="Times New Roman"/>
          <w:b/>
          <w:bCs/>
          <w:color w:val="FF0000"/>
          <w:kern w:val="0"/>
          <w:sz w:val="24"/>
          <w:szCs w:val="24"/>
          <w:lang w:eastAsia="pt-BR"/>
        </w:rPr>
        <w:t>[indicar o objeto],</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a ser realizado através de Licitação na modalidade </w:t>
      </w:r>
      <w:r w:rsidRPr="00220682">
        <w:rPr>
          <w:rFonts w:ascii="Times New Roman" w:hAnsi="Times New Roman"/>
          <w:b/>
          <w:bCs/>
          <w:kern w:val="0"/>
          <w:sz w:val="24"/>
          <w:szCs w:val="24"/>
          <w:lang w:eastAsia="pt-BR"/>
        </w:rPr>
        <w:t>PREGÃO</w:t>
      </w:r>
      <w:r w:rsidRPr="00220682">
        <w:rPr>
          <w:rFonts w:ascii="Times New Roman" w:hAnsi="Times New Roman"/>
          <w:kern w:val="0"/>
          <w:sz w:val="24"/>
          <w:szCs w:val="24"/>
          <w:lang w:eastAsia="pt-BR"/>
        </w:rPr>
        <w:t>, na forma </w:t>
      </w:r>
      <w:r w:rsidRPr="00220682">
        <w:rPr>
          <w:rFonts w:ascii="Times New Roman" w:hAnsi="Times New Roman"/>
          <w:b/>
          <w:bCs/>
          <w:kern w:val="0"/>
          <w:sz w:val="24"/>
          <w:szCs w:val="24"/>
          <w:lang w:eastAsia="pt-BR"/>
        </w:rPr>
        <w:t>ELETRÔNICA</w:t>
      </w:r>
      <w:r w:rsidRPr="00220682">
        <w:rPr>
          <w:rFonts w:ascii="Times New Roman" w:hAnsi="Times New Roman"/>
          <w:kern w:val="0"/>
          <w:sz w:val="24"/>
          <w:szCs w:val="24"/>
          <w:lang w:eastAsia="pt-BR"/>
        </w:rPr>
        <w:t xml:space="preserve">, </w:t>
      </w:r>
      <w:r w:rsidRPr="00220682">
        <w:rPr>
          <w:rFonts w:ascii="Times New Roman" w:hAnsi="Times New Roman"/>
          <w:color w:val="FF0000"/>
          <w:kern w:val="0"/>
          <w:sz w:val="24"/>
          <w:szCs w:val="24"/>
          <w:lang w:eastAsia="pt-BR"/>
        </w:rPr>
        <w:t xml:space="preserve">com procedimento auxiliar do Sistema de </w:t>
      </w:r>
      <w:r w:rsidRPr="00220682">
        <w:rPr>
          <w:rFonts w:ascii="Times New Roman" w:hAnsi="Times New Roman"/>
          <w:b/>
          <w:bCs/>
          <w:color w:val="FF0000"/>
          <w:kern w:val="0"/>
          <w:sz w:val="24"/>
          <w:szCs w:val="24"/>
          <w:lang w:eastAsia="pt-BR"/>
        </w:rPr>
        <w:t xml:space="preserve">Registro de Preços </w:t>
      </w:r>
      <w:r w:rsidRPr="00220682">
        <w:rPr>
          <w:rFonts w:ascii="Times New Roman" w:hAnsi="Times New Roman"/>
          <w:color w:val="FF0000"/>
          <w:kern w:val="0"/>
          <w:sz w:val="24"/>
          <w:szCs w:val="24"/>
          <w:lang w:eastAsia="pt-BR"/>
        </w:rPr>
        <w:t>(Indicar caso seja utilizado o Sistema de REGISTRO DE PREÇOS)​, </w:t>
      </w:r>
      <w:r w:rsidRPr="00220682">
        <w:rPr>
          <w:rFonts w:ascii="Times New Roman" w:hAnsi="Times New Roman"/>
          <w:kern w:val="0"/>
          <w:sz w:val="24"/>
          <w:szCs w:val="24"/>
          <w:lang w:eastAsia="pt-BR"/>
        </w:rPr>
        <w:t>conforme especificações, condições e quantidades estimadas constantes no </w:t>
      </w:r>
      <w:r w:rsidRPr="00220682">
        <w:rPr>
          <w:rFonts w:ascii="Times New Roman" w:hAnsi="Times New Roman"/>
          <w:b/>
          <w:bCs/>
          <w:color w:val="FF0000"/>
          <w:kern w:val="0"/>
          <w:sz w:val="24"/>
          <w:szCs w:val="24"/>
          <w:lang w:eastAsia="pt-BR"/>
        </w:rPr>
        <w:t>ANEXO [indicar o anexo]</w:t>
      </w:r>
      <w:r w:rsidRPr="00220682">
        <w:rPr>
          <w:rFonts w:ascii="Times New Roman" w:hAnsi="Times New Roman"/>
          <w:kern w:val="0"/>
          <w:sz w:val="24"/>
          <w:szCs w:val="24"/>
          <w:lang w:eastAsia="pt-BR"/>
        </w:rPr>
        <w:t> deste Termo de Referência.</w:t>
      </w:r>
      <w:bookmarkStart w:id="0" w:name="_Hlk171370816"/>
    </w:p>
    <w:p w14:paraId="7E670A14"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AE6AB7">
        <w:rPr>
          <w:rFonts w:ascii="Times New Roman" w:hAnsi="Times New Roman"/>
          <w:color w:val="FF0000"/>
          <w:kern w:val="0"/>
          <w:sz w:val="24"/>
          <w:szCs w:val="24"/>
          <w:lang w:eastAsia="pt-BR"/>
        </w:rPr>
        <w:t>Os bens</w:t>
      </w:r>
      <w:bookmarkEnd w:id="0"/>
      <w:r w:rsidRPr="00AE6AB7">
        <w:rPr>
          <w:rFonts w:ascii="Times New Roman" w:hAnsi="Times New Roman"/>
          <w:color w:val="FF0000"/>
          <w:kern w:val="0"/>
          <w:sz w:val="24"/>
          <w:szCs w:val="24"/>
          <w:lang w:eastAsia="pt-BR"/>
        </w:rPr>
        <w:t xml:space="preserve"> objeto desta contratação são caracterizados como </w:t>
      </w:r>
      <w:r w:rsidRPr="00AE6AB7">
        <w:rPr>
          <w:rFonts w:ascii="Times New Roman" w:hAnsi="Times New Roman"/>
          <w:b/>
          <w:bCs/>
          <w:color w:val="FF0000"/>
          <w:kern w:val="0"/>
          <w:sz w:val="24"/>
          <w:szCs w:val="24"/>
          <w:lang w:eastAsia="pt-BR"/>
        </w:rPr>
        <w:t>comuns,</w:t>
      </w:r>
      <w:r w:rsidRPr="00AE6AB7">
        <w:rPr>
          <w:rFonts w:ascii="Times New Roman" w:hAnsi="Times New Roman"/>
          <w:color w:val="FF0000"/>
          <w:kern w:val="0"/>
          <w:sz w:val="24"/>
          <w:szCs w:val="24"/>
          <w:lang w:eastAsia="pt-BR"/>
        </w:rPr>
        <w:t xml:space="preserve"> conforme justificativa constante do Estudo Técnico Preliminar.</w:t>
      </w:r>
      <w:bookmarkStart w:id="1" w:name="_Hlk171371987"/>
    </w:p>
    <w:p w14:paraId="51FAA7C3" w14:textId="77777777" w:rsidR="009148D9" w:rsidRPr="00AE6AB7" w:rsidRDefault="009148D9" w:rsidP="009148D9">
      <w:pPr>
        <w:pStyle w:val="PargrafodaLista"/>
        <w:spacing w:line="276" w:lineRule="auto"/>
        <w:ind w:left="567"/>
        <w:jc w:val="center"/>
        <w:rPr>
          <w:rFonts w:ascii="Times New Roman" w:hAnsi="Times New Roman"/>
          <w:b/>
          <w:bCs/>
          <w:kern w:val="0"/>
          <w:sz w:val="24"/>
          <w:szCs w:val="24"/>
          <w:lang w:eastAsia="pt-BR"/>
        </w:rPr>
      </w:pPr>
      <w:r w:rsidRPr="00AE6AB7">
        <w:rPr>
          <w:rFonts w:ascii="Times New Roman" w:hAnsi="Times New Roman"/>
          <w:b/>
          <w:bCs/>
          <w:color w:val="FF0000"/>
          <w:kern w:val="0"/>
          <w:sz w:val="24"/>
          <w:szCs w:val="24"/>
          <w:lang w:eastAsia="pt-BR"/>
        </w:rPr>
        <w:t>OU</w:t>
      </w:r>
    </w:p>
    <w:p w14:paraId="1802BF7B" w14:textId="77777777" w:rsidR="009148D9" w:rsidRPr="00AE6AB7"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AE6AB7">
        <w:rPr>
          <w:rFonts w:ascii="Times New Roman" w:hAnsi="Times New Roman"/>
          <w:color w:val="FF0000"/>
          <w:kern w:val="0"/>
          <w:sz w:val="24"/>
          <w:szCs w:val="24"/>
          <w:lang w:eastAsia="pt-BR"/>
        </w:rPr>
        <w:t>Os bens objeto desta contratação são caracterizados como</w:t>
      </w:r>
      <w:r w:rsidRPr="00AE6AB7">
        <w:rPr>
          <w:rFonts w:ascii="Times New Roman" w:hAnsi="Times New Roman"/>
          <w:b/>
          <w:bCs/>
          <w:color w:val="FF0000"/>
          <w:kern w:val="0"/>
          <w:sz w:val="24"/>
          <w:szCs w:val="24"/>
          <w:lang w:eastAsia="pt-BR"/>
        </w:rPr>
        <w:t xml:space="preserve"> especiais</w:t>
      </w:r>
      <w:r w:rsidRPr="00AE6AB7">
        <w:rPr>
          <w:rFonts w:ascii="Times New Roman" w:hAnsi="Times New Roman"/>
          <w:color w:val="FF0000"/>
          <w:kern w:val="0"/>
          <w:sz w:val="24"/>
          <w:szCs w:val="24"/>
          <w:lang w:eastAsia="pt-BR"/>
        </w:rPr>
        <w:t>, conforme justificativa constante do Estudo Técnico Preliminar.</w:t>
      </w:r>
      <w:bookmarkEnd w:id="1"/>
    </w:p>
    <w:tbl>
      <w:tblPr>
        <w:tblW w:w="9556" w:type="dxa"/>
        <w:tblCellSpacing w:w="7"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56"/>
      </w:tblGrid>
      <w:tr w:rsidR="009148D9" w:rsidRPr="00220682" w14:paraId="50B65C9C" w14:textId="77777777" w:rsidTr="001E0434">
        <w:trPr>
          <w:trHeight w:val="3454"/>
          <w:tblCellSpacing w:w="7" w:type="dxa"/>
        </w:trPr>
        <w:tc>
          <w:tcPr>
            <w:tcW w:w="9528" w:type="dxa"/>
            <w:tcBorders>
              <w:top w:val="outset" w:sz="6" w:space="0" w:color="auto"/>
              <w:bottom w:val="outset" w:sz="6" w:space="0" w:color="auto"/>
            </w:tcBorders>
            <w:shd w:val="clear" w:color="auto" w:fill="FFFFCC"/>
            <w:vAlign w:val="center"/>
            <w:hideMark/>
          </w:tcPr>
          <w:p w14:paraId="3C788AC8"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Sobre a natureza do objeto, deve-se ter em mente o disposto na Orientação Normativa AGU nº 54/2014: "Compete ao agente ou setor técnico da administração declarar que o objeto licitatório é de natureza comum para efeito de utilização da modalidade pregão e definir se o objeto corresponde a obra ou serviço de engenharia, sendo atribuição do órgão jurídico analisar o devido enquadramento da modalidade licitatória aplicável".</w:t>
            </w:r>
          </w:p>
          <w:p w14:paraId="7770DDD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2: </w:t>
            </w:r>
            <w:r w:rsidRPr="00220682">
              <w:rPr>
                <w:rFonts w:ascii="Times New Roman" w:hAnsi="Times New Roman"/>
                <w:kern w:val="0"/>
                <w:sz w:val="24"/>
                <w:szCs w:val="24"/>
                <w:lang w:eastAsia="pt-BR"/>
              </w:rPr>
              <w:t>Deve a Administração atentar para as definições de bens comuns e especiais, constantes do art. 6º, incisos XIII e XIV, da Lei n.º 14.133, de 2021, respectivamente.</w:t>
            </w:r>
          </w:p>
          <w:p w14:paraId="3FFC64DE"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Vedação quanto à aquisição de itens de luxo - O artigo 20 da Lei nº 14.133, de 2021, estabelece que os itens de consumo deverão ser de qualidade comum, não superior à necessária para cumprir as finalidades às quais se destinam, vedada a aquisição de artigos de luxo. O Decreto nº 10.818, de 2021 regulamentou o tema, devendo as vedações nele estabelecidas serem respeitadas pelo administrador público.</w:t>
            </w:r>
          </w:p>
        </w:tc>
      </w:tr>
    </w:tbl>
    <w:p w14:paraId="7F0B9CD7" w14:textId="77777777" w:rsidR="009148D9" w:rsidRPr="00220682" w:rsidRDefault="009148D9" w:rsidP="00DC07C2">
      <w:pPr>
        <w:pStyle w:val="PargrafodaLista"/>
        <w:numPr>
          <w:ilvl w:val="1"/>
          <w:numId w:val="9"/>
        </w:numPr>
        <w:spacing w:line="360"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O objeto desta contratação não se enquadra como bem de luxo, conforme Decreto nº 10.818, de 27 de setembro de 2021.</w:t>
      </w:r>
    </w:p>
    <w:tbl>
      <w:tblPr>
        <w:tblW w:w="949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96"/>
      </w:tblGrid>
      <w:tr w:rsidR="009148D9" w:rsidRPr="00220682" w14:paraId="692AA4E8" w14:textId="77777777" w:rsidTr="001E0434">
        <w:trPr>
          <w:trHeight w:val="784"/>
          <w:tblCellSpacing w:w="7" w:type="dxa"/>
        </w:trPr>
        <w:tc>
          <w:tcPr>
            <w:tcW w:w="9468" w:type="dxa"/>
            <w:tcBorders>
              <w:top w:val="outset" w:sz="6" w:space="0" w:color="auto"/>
              <w:bottom w:val="outset" w:sz="6" w:space="0" w:color="auto"/>
            </w:tcBorders>
            <w:shd w:val="clear" w:color="auto" w:fill="FFFFCC"/>
            <w:vAlign w:val="center"/>
            <w:hideMark/>
          </w:tcPr>
          <w:p w14:paraId="7B8CF1F1" w14:textId="77777777" w:rsidR="009148D9" w:rsidRPr="00220682" w:rsidRDefault="009148D9" w:rsidP="001E0434">
            <w:pPr>
              <w:spacing w:line="276" w:lineRule="auto"/>
              <w:jc w:val="both"/>
              <w:rPr>
                <w:rFonts w:ascii="Times New Roman" w:hAnsi="Times New Roman"/>
                <w:kern w:val="0"/>
                <w:sz w:val="24"/>
                <w:szCs w:val="24"/>
                <w:lang w:eastAsia="pt-BR"/>
              </w:rPr>
            </w:pPr>
            <w:bookmarkStart w:id="2" w:name="_msocom_1"/>
            <w:r w:rsidRPr="00220682">
              <w:rPr>
                <w:rFonts w:ascii="Times New Roman" w:hAnsi="Times New Roman"/>
                <w:b/>
                <w:bCs/>
                <w:kern w:val="0"/>
                <w:sz w:val="24"/>
                <w:szCs w:val="24"/>
                <w:lang w:eastAsia="pt-BR"/>
              </w:rPr>
              <w:t xml:space="preserve">Nota Explicativa 4: Vedação quanto à aquisição de itens de luxo - </w:t>
            </w:r>
            <w:r w:rsidRPr="00220682">
              <w:rPr>
                <w:rFonts w:ascii="Times New Roman" w:hAnsi="Times New Roman"/>
                <w:kern w:val="0"/>
                <w:sz w:val="24"/>
                <w:szCs w:val="24"/>
                <w:lang w:eastAsia="pt-BR"/>
              </w:rPr>
              <w:t>O artigo 20 da Lei nº 14.133, de 2021, estabelece que os itens de consumo deverão ser de qualidade comum, não superior à necessária para cumprir as finalidades às quais se destinam, vedada a aquisição de artigos de luxo. O Decreto nº 10.818, de 2021 regulamentou o tema, devendo as vedações nele estabelecidas serem respeitadas pelo administrador público.</w:t>
            </w:r>
          </w:p>
        </w:tc>
      </w:tr>
    </w:tbl>
    <w:p w14:paraId="240549F3"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prazo de vigência da contratação é de </w:t>
      </w:r>
      <w:r w:rsidRPr="00220682">
        <w:rPr>
          <w:rFonts w:ascii="Times New Roman" w:hAnsi="Times New Roman"/>
          <w:color w:val="FF0000"/>
          <w:kern w:val="0"/>
          <w:sz w:val="24"/>
          <w:szCs w:val="24"/>
          <w:lang w:eastAsia="pt-BR"/>
        </w:rPr>
        <w:t>[indicar o prazo]</w:t>
      </w:r>
      <w:r w:rsidRPr="00220682">
        <w:rPr>
          <w:rFonts w:ascii="Times New Roman" w:hAnsi="Times New Roman"/>
          <w:kern w:val="0"/>
          <w:sz w:val="24"/>
          <w:szCs w:val="24"/>
          <w:lang w:eastAsia="pt-BR"/>
        </w:rPr>
        <w:t xml:space="preserve"> contados do(a) </w:t>
      </w:r>
      <w:r w:rsidRPr="00220682">
        <w:rPr>
          <w:rFonts w:ascii="Times New Roman" w:hAnsi="Times New Roman"/>
          <w:color w:val="FF0000"/>
          <w:kern w:val="0"/>
          <w:sz w:val="24"/>
          <w:szCs w:val="24"/>
          <w:lang w:eastAsia="pt-BR"/>
        </w:rPr>
        <w:t>[indicar o termo inicial da vigência],</w:t>
      </w:r>
      <w:r w:rsidRPr="00220682">
        <w:rPr>
          <w:rFonts w:ascii="Times New Roman" w:hAnsi="Times New Roman"/>
          <w:kern w:val="0"/>
          <w:sz w:val="24"/>
          <w:szCs w:val="24"/>
          <w:lang w:eastAsia="pt-BR"/>
        </w:rPr>
        <w:t xml:space="preserve"> na forma do artigo 105 da Lei n° 14.133, de 2021</w:t>
      </w:r>
    </w:p>
    <w:p w14:paraId="79F2B7CE"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6F825371"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 xml:space="preserve">O prazo de vigência da contratação é de </w:t>
      </w:r>
      <w:r w:rsidRPr="00220682">
        <w:rPr>
          <w:rFonts w:ascii="Times New Roman" w:hAnsi="Times New Roman"/>
          <w:color w:val="FF0000"/>
          <w:kern w:val="0"/>
          <w:sz w:val="24"/>
          <w:szCs w:val="24"/>
          <w:lang w:eastAsia="pt-BR"/>
        </w:rPr>
        <w:t>[indicar o prazo, limitado a 5 anos]</w:t>
      </w:r>
      <w:r w:rsidRPr="00220682">
        <w:rPr>
          <w:rFonts w:ascii="Times New Roman" w:hAnsi="Times New Roman"/>
          <w:kern w:val="0"/>
          <w:sz w:val="24"/>
          <w:szCs w:val="24"/>
          <w:lang w:eastAsia="pt-BR"/>
        </w:rPr>
        <w:t xml:space="preserve"> contados do(a)</w:t>
      </w:r>
      <w:r w:rsidRPr="00220682">
        <w:rPr>
          <w:rFonts w:ascii="Times New Roman" w:hAnsi="Times New Roman"/>
          <w:color w:val="FF0000"/>
          <w:kern w:val="0"/>
          <w:sz w:val="24"/>
          <w:szCs w:val="24"/>
          <w:lang w:eastAsia="pt-BR"/>
        </w:rPr>
        <w:t xml:space="preserve"> [indicar o termo inicial da vigência], prorrogável por até 10 anos, </w:t>
      </w:r>
      <w:r w:rsidRPr="00220682">
        <w:rPr>
          <w:rFonts w:ascii="Times New Roman" w:hAnsi="Times New Roman"/>
          <w:kern w:val="0"/>
          <w:sz w:val="24"/>
          <w:szCs w:val="24"/>
          <w:lang w:eastAsia="pt-BR"/>
        </w:rPr>
        <w:t>na forma dos artigos 106 e 107 da Lei n° 14.133, de 2021.</w:t>
      </w:r>
    </w:p>
    <w:p w14:paraId="75C80EC2"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16EB1A4C"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prazo de vigência da contratação é de </w:t>
      </w:r>
      <w:r w:rsidRPr="00220682">
        <w:rPr>
          <w:rFonts w:ascii="Times New Roman" w:hAnsi="Times New Roman"/>
          <w:b/>
          <w:bCs/>
          <w:color w:val="FF0000"/>
          <w:kern w:val="0"/>
          <w:sz w:val="24"/>
          <w:szCs w:val="24"/>
          <w:lang w:eastAsia="pt-BR"/>
        </w:rPr>
        <w:t>[indicar o prazo, limitado a um ano da ocorrência da emergência ou calamidade]</w:t>
      </w:r>
      <w:r w:rsidRPr="00220682">
        <w:rPr>
          <w:rFonts w:ascii="Times New Roman" w:hAnsi="Times New Roman"/>
          <w:kern w:val="0"/>
          <w:sz w:val="24"/>
          <w:szCs w:val="24"/>
          <w:lang w:eastAsia="pt-BR"/>
        </w:rPr>
        <w:t xml:space="preserve"> contados do(a) </w:t>
      </w:r>
      <w:r w:rsidRPr="00220682">
        <w:rPr>
          <w:rFonts w:ascii="Times New Roman" w:hAnsi="Times New Roman"/>
          <w:b/>
          <w:bCs/>
          <w:color w:val="FF0000"/>
          <w:kern w:val="0"/>
          <w:sz w:val="24"/>
          <w:szCs w:val="24"/>
          <w:lang w:eastAsia="pt-BR"/>
        </w:rPr>
        <w:t>[indicar o termo inicial da vigência]</w:t>
      </w:r>
      <w:r w:rsidRPr="00220682">
        <w:rPr>
          <w:rFonts w:ascii="Times New Roman" w:hAnsi="Times New Roman"/>
          <w:kern w:val="0"/>
          <w:sz w:val="24"/>
          <w:szCs w:val="24"/>
          <w:lang w:eastAsia="pt-BR"/>
        </w:rPr>
        <w:t>, improrrogável, na forma do art. 75, inciso VIII, da Lei n° 14.133/2021.</w:t>
      </w:r>
    </w:p>
    <w:p w14:paraId="545C85CA" w14:textId="77777777" w:rsidR="009148D9" w:rsidRDefault="009148D9" w:rsidP="00DC07C2">
      <w:pPr>
        <w:pStyle w:val="PargrafodaLista"/>
        <w:numPr>
          <w:ilvl w:val="1"/>
          <w:numId w:val="9"/>
        </w:numPr>
        <w:spacing w:line="276" w:lineRule="auto"/>
        <w:ind w:left="0" w:firstLine="567"/>
        <w:jc w:val="both"/>
        <w:rPr>
          <w:rFonts w:ascii="Times New Roman" w:hAnsi="Times New Roman"/>
          <w:color w:val="FF0000"/>
          <w:kern w:val="0"/>
          <w:sz w:val="24"/>
          <w:szCs w:val="24"/>
          <w:lang w:eastAsia="pt-BR"/>
        </w:rPr>
      </w:pPr>
      <w:r w:rsidRPr="00220682">
        <w:rPr>
          <w:rFonts w:ascii="Times New Roman" w:hAnsi="Times New Roman"/>
          <w:kern w:val="0"/>
          <w:sz w:val="24"/>
          <w:szCs w:val="24"/>
          <w:lang w:eastAsia="pt-BR"/>
        </w:rPr>
        <w:t xml:space="preserve">O fornecimento de bens é enquadrado como continuado tendo em vista que </w:t>
      </w:r>
      <w:r w:rsidRPr="00220682">
        <w:rPr>
          <w:rFonts w:ascii="Times New Roman" w:hAnsi="Times New Roman"/>
          <w:color w:val="FF0000"/>
          <w:kern w:val="0"/>
          <w:sz w:val="24"/>
          <w:szCs w:val="24"/>
          <w:lang w:eastAsia="pt-BR"/>
        </w:rPr>
        <w:t>[...]</w:t>
      </w:r>
      <w:r w:rsidRPr="00220682">
        <w:rPr>
          <w:rFonts w:ascii="Times New Roman" w:hAnsi="Times New Roman"/>
          <w:kern w:val="0"/>
          <w:sz w:val="24"/>
          <w:szCs w:val="24"/>
          <w:lang w:eastAsia="pt-BR"/>
        </w:rPr>
        <w:t>, sendo a vigência plurianual mais vantajosa considerando</w:t>
      </w:r>
      <w:r w:rsidRPr="00220682">
        <w:rPr>
          <w:rFonts w:ascii="Times New Roman" w:hAnsi="Times New Roman"/>
          <w:color w:val="FF0000"/>
          <w:kern w:val="0"/>
          <w:sz w:val="24"/>
          <w:szCs w:val="24"/>
          <w:lang w:eastAsia="pt-BR"/>
        </w:rPr>
        <w:t xml:space="preserve"> [...] </w:t>
      </w:r>
      <w:r w:rsidRPr="00220682">
        <w:rPr>
          <w:rFonts w:ascii="Times New Roman" w:hAnsi="Times New Roman"/>
          <w:b/>
          <w:bCs/>
          <w:color w:val="FF0000"/>
          <w:kern w:val="0"/>
          <w:sz w:val="24"/>
          <w:szCs w:val="24"/>
          <w:lang w:eastAsia="pt-BR"/>
        </w:rPr>
        <w:t>OU</w:t>
      </w:r>
      <w:r w:rsidRPr="00220682">
        <w:rPr>
          <w:rFonts w:ascii="Times New Roman" w:hAnsi="Times New Roman"/>
          <w:color w:val="FF0000"/>
          <w:kern w:val="0"/>
          <w:sz w:val="24"/>
          <w:szCs w:val="24"/>
          <w:lang w:eastAsia="pt-BR"/>
        </w:rPr>
        <w:t xml:space="preserve"> [o Estudo Técnico Preliminar] </w:t>
      </w:r>
      <w:r w:rsidRPr="00220682">
        <w:rPr>
          <w:rFonts w:ascii="Times New Roman" w:hAnsi="Times New Roman"/>
          <w:b/>
          <w:bCs/>
          <w:color w:val="FF0000"/>
          <w:kern w:val="0"/>
          <w:sz w:val="24"/>
          <w:szCs w:val="24"/>
          <w:lang w:eastAsia="pt-BR"/>
        </w:rPr>
        <w:t>OU</w:t>
      </w:r>
      <w:r w:rsidRPr="00220682">
        <w:rPr>
          <w:rFonts w:ascii="Times New Roman" w:hAnsi="Times New Roman"/>
          <w:color w:val="FF0000"/>
          <w:kern w:val="0"/>
          <w:sz w:val="24"/>
          <w:szCs w:val="24"/>
          <w:lang w:eastAsia="pt-BR"/>
        </w:rPr>
        <w:t xml:space="preserve"> [os termos da Nota Técnica .../...];</w:t>
      </w:r>
    </w:p>
    <w:p w14:paraId="7C85685A" w14:textId="77777777" w:rsidR="009148D9" w:rsidRPr="00144642" w:rsidRDefault="009148D9" w:rsidP="009148D9">
      <w:pPr>
        <w:spacing w:line="276" w:lineRule="auto"/>
        <w:jc w:val="both"/>
        <w:rPr>
          <w:rFonts w:ascii="Times New Roman" w:hAnsi="Times New Roman"/>
          <w:color w:val="FF0000"/>
          <w:kern w:val="0"/>
          <w:sz w:val="24"/>
          <w:szCs w:val="24"/>
          <w:lang w:eastAsia="pt-BR"/>
        </w:rPr>
      </w:pPr>
    </w:p>
    <w:tbl>
      <w:tblPr>
        <w:tblW w:w="9348"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48"/>
      </w:tblGrid>
      <w:tr w:rsidR="009148D9" w:rsidRPr="00220682" w14:paraId="3F7969A5" w14:textId="77777777" w:rsidTr="001E0434">
        <w:trPr>
          <w:tblCellSpacing w:w="7" w:type="dxa"/>
        </w:trPr>
        <w:tc>
          <w:tcPr>
            <w:tcW w:w="9320" w:type="dxa"/>
            <w:tcBorders>
              <w:top w:val="outset" w:sz="6" w:space="0" w:color="auto"/>
              <w:bottom w:val="outset" w:sz="6" w:space="0" w:color="auto"/>
            </w:tcBorders>
            <w:shd w:val="clear" w:color="auto" w:fill="FFFFCC"/>
            <w:vAlign w:val="center"/>
            <w:hideMark/>
          </w:tcPr>
          <w:p w14:paraId="250139F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5:</w:t>
            </w:r>
            <w:r w:rsidRPr="00220682">
              <w:rPr>
                <w:rFonts w:ascii="Times New Roman" w:hAnsi="Times New Roman"/>
                <w:kern w:val="0"/>
                <w:sz w:val="24"/>
                <w:szCs w:val="24"/>
                <w:lang w:eastAsia="pt-BR"/>
              </w:rPr>
              <w:t xml:space="preserve"> Enquadramento da contratação para fins de vigência: há três tipos de contratação para aquisição de bens, no que tange à vigência: </w:t>
            </w:r>
          </w:p>
          <w:p w14:paraId="3B19502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a) fornecimento não-contínuo, quando se trata de uma entrega de bens sem que haja uma demanda de caráter permanente. Uma vez finalizada a entrega, resolve-se a necessidade que deu azo ao contrato. Esse tipo de fornecimento tem o art. 105 da Lei nº 14.133, de 2021, como fundamento e parte apenas de créditos do exercício corrente, salvo se inscritos no Plano Plurianual.</w:t>
            </w:r>
          </w:p>
          <w:p w14:paraId="5525EF4B"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b) fornecimento contínuo, quando a entrega dos bens é uma necessidade permanente. É o caso, por exemplo, de unidades hospitalares que cotidianamente demandam insumos de saúde específicos para seu próprio funcionamento contínuo. Nessas situações, findo o contrato, haverá sua substituição por um novo e assim, sucessivamente, pois a necessidade em si é permanente. Contratações dessa natureza são atendidas pelo art. 106 da Lei nº 14.133, de 2021.</w:t>
            </w:r>
          </w:p>
          <w:p w14:paraId="2B59F061"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c) Por fim, caso se trate de contratação emergencial, a vigência é regida pelo art. 75, VIII, da Lei nº 14.133, de 2021, estando limitada a um ano da emergência, não sendo passível de prorrogação.</w:t>
            </w:r>
          </w:p>
          <w:p w14:paraId="346794CD"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Incumbe à área que elabora o Termo de Referência enquadrar a contratação como não-contínua ou contínua (ou emergencial, se for o caso). Reputando-a contínua, deve apor a justificativa para tal enquadramento, conforme orientações no item específico abaixo.</w:t>
            </w:r>
          </w:p>
          <w:p w14:paraId="04C454F8"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6:</w:t>
            </w:r>
            <w:r w:rsidRPr="00220682">
              <w:rPr>
                <w:rFonts w:ascii="Times New Roman" w:hAnsi="Times New Roman"/>
                <w:kern w:val="0"/>
                <w:sz w:val="24"/>
                <w:szCs w:val="24"/>
                <w:lang w:eastAsia="pt-BR"/>
              </w:rPr>
              <w:t xml:space="preserve"> Prazo de Vigência e Empenho - art. 105 da Lei nº 14.133, de 2021 – Fornecimento Não-Contínuo: Em caso de fornecimento não contínuo, o prazo de vigência deve ser o suficiente para a entrega do objeto e adoção das providências previstas no contrato, sendo a contratação limitada pelos respectivos créditos orçamentários. </w:t>
            </w:r>
          </w:p>
          <w:p w14:paraId="7AFC4F0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w:t>
            </w:r>
          </w:p>
          <w:p w14:paraId="3C71EFA8"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Já a contratação prevista no Plano Plurianual pode ter empenhos em anos distintos, considerando a despesa de cada exercício, apenas quanto ao período abrangido pelo PPA.</w:t>
            </w:r>
          </w:p>
          <w:p w14:paraId="7A03C79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lastRenderedPageBreak/>
              <w:t>Nota Explicativa 7:</w:t>
            </w:r>
            <w:r w:rsidRPr="00220682">
              <w:rPr>
                <w:rFonts w:ascii="Times New Roman" w:hAnsi="Times New Roman"/>
                <w:kern w:val="0"/>
                <w:sz w:val="24"/>
                <w:szCs w:val="24"/>
                <w:lang w:eastAsia="pt-BR"/>
              </w:rPr>
              <w:t xml:space="preserve"> Prazo de Vigência – </w:t>
            </w:r>
            <w:proofErr w:type="spellStart"/>
            <w:r w:rsidRPr="00220682">
              <w:rPr>
                <w:rFonts w:ascii="Times New Roman" w:hAnsi="Times New Roman"/>
                <w:kern w:val="0"/>
                <w:sz w:val="24"/>
                <w:szCs w:val="24"/>
                <w:lang w:eastAsia="pt-BR"/>
              </w:rPr>
              <w:t>arts</w:t>
            </w:r>
            <w:proofErr w:type="spellEnd"/>
            <w:r w:rsidRPr="00220682">
              <w:rPr>
                <w:rFonts w:ascii="Times New Roman" w:hAnsi="Times New Roman"/>
                <w:kern w:val="0"/>
                <w:sz w:val="24"/>
                <w:szCs w:val="24"/>
                <w:lang w:eastAsia="pt-BR"/>
              </w:rPr>
              <w:t>. 106 e 107 - Fornecimento Contínuo - A definição de fornecimento contínuo consta no art. 6º, XV da Lei nº 14.133, de 2021, sendo as “compras realizadas pela Administração Pública para a manutenção da atividade administrativa, decorrentes de necessidades permanentes ou prolongadas”.</w:t>
            </w:r>
          </w:p>
          <w:p w14:paraId="7E0CB13C"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A utilização do prazo de vigência plurianual no caso de fornecimento contínuo é condicionada ao ateste de maior vantagem econômica, a ser feita pela autoridade competente no processo respectivo, conforme art. 106, I da Lei nº 14.133, de 2021.</w:t>
            </w:r>
          </w:p>
          <w:p w14:paraId="47F852CB"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 acordo com o artigo 107 da Lei nº 14.133, de 2021, será possível que contratos de fornecimento contínuo sejam prorrogados por até 10 anos, desde que haja previsão no aviso de dispensa ou no próprio contrato de que a autoridade competente ateste que as condições e os preços permanecem vantajosos para a Administração, permitida a negociação com o contratado ou a extinção contratual sem ônus para qualquer das partes.</w:t>
            </w:r>
          </w:p>
          <w:p w14:paraId="1C8D034D"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8:</w:t>
            </w:r>
            <w:r w:rsidRPr="00220682">
              <w:rPr>
                <w:rFonts w:ascii="Times New Roman" w:hAnsi="Times New Roman"/>
                <w:kern w:val="0"/>
                <w:sz w:val="24"/>
                <w:szCs w:val="24"/>
                <w:lang w:eastAsia="pt-BR"/>
              </w:rPr>
              <w:t xml:space="preserve"> Prazo de Vigência – art. 75, inciso VIII – Dispensa Emergencial: Independentemente de se tratar de fornecimento de natureza contínua ou não, a dispensa emergencial ou por calamidade baseada no art. 75, inciso VIII, da Lei n.º 14.133, de 2021, é limitada a um ano, sem a possibilidade de prorrogação. Inobstante se possa arguir a possibilidade de celebrar o contrato em prazo menor e prorrogar sua vigência até o limite de um ano, recomenda-se, por cautela, face à redação literal, já firmar o contrato por um prazo estimado, considerando a inviabilidade de prorrogação.</w:t>
            </w:r>
          </w:p>
          <w:p w14:paraId="68C4545F"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Deve-se atentar, por fim, para a vedação de recontratação de empresa já contratada com base no disposto neste inciso e para a necessidade de se adotarem as providências necessárias para a conclusão do processo licitatório, sem prejuízo de apuração de responsabilidade dos agentes públicos que deram causa à situação emergencial, conforme previsão legal. </w:t>
            </w:r>
          </w:p>
          <w:p w14:paraId="4EE5B194"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9:</w:t>
            </w:r>
            <w:r w:rsidRPr="00220682">
              <w:rPr>
                <w:rFonts w:ascii="Times New Roman" w:hAnsi="Times New Roman"/>
                <w:kern w:val="0"/>
                <w:sz w:val="24"/>
                <w:szCs w:val="24"/>
                <w:lang w:eastAsia="pt-BR"/>
              </w:rPr>
              <w:t xml:space="preserve"> Vigência X Valores para fins de Dispensa de pequeno valor: Atentar para o disposto no art. 75, §1º, da Lei n.º 14.133, de 2021, segundo o qual serão observados para os fins de aferição dos valores para a dispensa do art. 75, I e II, o “somatório do que for despendido no exercício financeiro pela respectiva unidade gestora”. Desse modo, o referencial temporal passa a ser o gasto efetivo no período anual. </w:t>
            </w:r>
          </w:p>
          <w:p w14:paraId="5CDA5846" w14:textId="77777777" w:rsidR="009148D9" w:rsidRPr="00220682" w:rsidRDefault="009148D9" w:rsidP="001E0434">
            <w:pPr>
              <w:spacing w:line="276" w:lineRule="auto"/>
              <w:ind w:right="102"/>
              <w:jc w:val="both"/>
              <w:rPr>
                <w:rFonts w:ascii="Times New Roman" w:hAnsi="Times New Roman"/>
                <w:kern w:val="0"/>
                <w:sz w:val="24"/>
                <w:szCs w:val="24"/>
                <w:lang w:eastAsia="pt-BR"/>
              </w:rPr>
            </w:pPr>
            <w:r w:rsidRPr="00220682">
              <w:rPr>
                <w:rFonts w:ascii="Times New Roman" w:hAnsi="Times New Roman"/>
                <w:kern w:val="0"/>
                <w:sz w:val="24"/>
                <w:szCs w:val="24"/>
                <w:lang w:eastAsia="pt-BR"/>
              </w:rPr>
              <w:t>Deve-se observar o quanto foi efetivamente despendido no exercício financeiro com objetos na mesma natureza (75, §1º, II) pela Unidade Gestora e então somar com o que se espera gastar, efetivamente, com o contrato. Tal somatório não pode ultrapassar o limite de dispensa para que seja possível o seu uso. Tal cálculo permite, por exemplo, contratos de cinco anos com valor total muito maior do que o limite para dispensa, desde que o dispêndio anual não o seja.</w:t>
            </w:r>
          </w:p>
        </w:tc>
      </w:tr>
    </w:tbl>
    <w:p w14:paraId="2FD6AE38" w14:textId="77777777" w:rsidR="009148D9" w:rsidRDefault="009148D9" w:rsidP="009148D9">
      <w:pPr>
        <w:spacing w:line="276" w:lineRule="auto"/>
        <w:jc w:val="both"/>
        <w:rPr>
          <w:rFonts w:ascii="Times New Roman" w:hAnsi="Times New Roman"/>
          <w:b/>
          <w:bCs/>
          <w:kern w:val="0"/>
          <w:sz w:val="24"/>
          <w:szCs w:val="24"/>
          <w:lang w:eastAsia="pt-BR"/>
        </w:rPr>
      </w:pPr>
    </w:p>
    <w:p w14:paraId="59E65490" w14:textId="77777777" w:rsidR="009148D9" w:rsidRPr="006B4569" w:rsidRDefault="009148D9" w:rsidP="00DC07C2">
      <w:pPr>
        <w:pStyle w:val="PargrafodaLista"/>
        <w:numPr>
          <w:ilvl w:val="1"/>
          <w:numId w:val="9"/>
        </w:numPr>
        <w:shd w:val="clear" w:color="auto" w:fill="FFFFFF" w:themeFill="background1"/>
        <w:spacing w:line="276" w:lineRule="auto"/>
        <w:ind w:left="0" w:firstLine="567"/>
        <w:jc w:val="both"/>
        <w:rPr>
          <w:rFonts w:ascii="Times New Roman" w:hAnsi="Times New Roman"/>
          <w:b/>
          <w:bCs/>
          <w:kern w:val="0"/>
          <w:sz w:val="24"/>
          <w:szCs w:val="24"/>
          <w:lang w:eastAsia="pt-BR"/>
        </w:rPr>
      </w:pPr>
      <w:r w:rsidRPr="006B4569">
        <w:rPr>
          <w:rFonts w:ascii="Times New Roman" w:hAnsi="Times New Roman"/>
          <w:b/>
          <w:bCs/>
          <w:kern w:val="0"/>
          <w:sz w:val="24"/>
          <w:szCs w:val="24"/>
          <w:lang w:eastAsia="pt-BR"/>
        </w:rPr>
        <w:t xml:space="preserve">Da Prevalência da Descrição Técnica sobre o Código CATMAT: </w:t>
      </w:r>
    </w:p>
    <w:p w14:paraId="7446F752"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b/>
          <w:bCs/>
          <w:color w:val="000000" w:themeColor="text1"/>
          <w:kern w:val="0"/>
          <w:sz w:val="24"/>
          <w:szCs w:val="24"/>
          <w:lang w:eastAsia="pt-BR"/>
        </w:rPr>
      </w:pPr>
      <w:r w:rsidRPr="006B4569">
        <w:rPr>
          <w:rFonts w:ascii="Times New Roman" w:hAnsi="Times New Roman"/>
          <w:color w:val="000000" w:themeColor="text1"/>
          <w:kern w:val="0"/>
          <w:sz w:val="24"/>
          <w:szCs w:val="24"/>
          <w:lang w:eastAsia="pt-BR"/>
        </w:rPr>
        <w:t xml:space="preserve"> Em caso de divergência, contradição ou ambiguidade entre a descrição detalhada do item</w:t>
      </w:r>
      <w:r>
        <w:rPr>
          <w:rFonts w:ascii="Times New Roman" w:hAnsi="Times New Roman"/>
          <w:color w:val="000000" w:themeColor="text1"/>
          <w:kern w:val="0"/>
          <w:sz w:val="24"/>
          <w:szCs w:val="24"/>
          <w:lang w:eastAsia="pt-BR"/>
        </w:rPr>
        <w:t xml:space="preserve"> </w:t>
      </w:r>
      <w:r w:rsidRPr="006B4569">
        <w:rPr>
          <w:rFonts w:ascii="Times New Roman" w:hAnsi="Times New Roman"/>
          <w:color w:val="000000" w:themeColor="text1"/>
          <w:kern w:val="0"/>
          <w:sz w:val="24"/>
          <w:szCs w:val="24"/>
          <w:lang w:eastAsia="pt-BR"/>
        </w:rPr>
        <w:t xml:space="preserve">ou solução constante deste Termo de Referência e eventuais codificações materiais associadas, tais como CATMAT (Classificação de Materiais), </w:t>
      </w:r>
      <w:r w:rsidRPr="006B4569">
        <w:rPr>
          <w:rFonts w:ascii="Times New Roman" w:hAnsi="Times New Roman"/>
          <w:b/>
          <w:bCs/>
          <w:color w:val="000000" w:themeColor="text1"/>
          <w:kern w:val="0"/>
          <w:sz w:val="24"/>
          <w:szCs w:val="24"/>
          <w:lang w:eastAsia="pt-BR"/>
        </w:rPr>
        <w:t>prevalecerá integralmente o descritivo técnico e qualitativo estabelecido neste instrumento,</w:t>
      </w:r>
      <w:r w:rsidRPr="006B4569">
        <w:rPr>
          <w:rFonts w:ascii="Times New Roman" w:hAnsi="Times New Roman"/>
          <w:color w:val="000000" w:themeColor="text1"/>
          <w:kern w:val="0"/>
          <w:sz w:val="24"/>
          <w:szCs w:val="24"/>
          <w:lang w:eastAsia="pt-BR"/>
        </w:rPr>
        <w:t xml:space="preserve"> em todas as suas especificações, exigências e condições.</w:t>
      </w:r>
    </w:p>
    <w:p w14:paraId="618AEAEA"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color w:val="000000" w:themeColor="text1"/>
          <w:kern w:val="0"/>
          <w:sz w:val="24"/>
          <w:szCs w:val="24"/>
          <w:lang w:eastAsia="pt-BR"/>
        </w:rPr>
      </w:pPr>
      <w:r w:rsidRPr="006B4569">
        <w:rPr>
          <w:rFonts w:ascii="Times New Roman" w:hAnsi="Times New Roman"/>
          <w:color w:val="000000" w:themeColor="text1"/>
          <w:kern w:val="0"/>
          <w:sz w:val="24"/>
          <w:szCs w:val="24"/>
          <w:lang w:eastAsia="pt-BR"/>
        </w:rPr>
        <w:lastRenderedPageBreak/>
        <w:t xml:space="preserve"> As codificações materiais (CATMAT) terá caráter </w:t>
      </w:r>
      <w:r w:rsidRPr="006B4569">
        <w:rPr>
          <w:rFonts w:ascii="Times New Roman" w:hAnsi="Times New Roman"/>
          <w:b/>
          <w:bCs/>
          <w:color w:val="000000" w:themeColor="text1"/>
          <w:kern w:val="0"/>
          <w:sz w:val="24"/>
          <w:szCs w:val="24"/>
          <w:lang w:eastAsia="pt-BR"/>
        </w:rPr>
        <w:t xml:space="preserve">meramente complementar e auxiliar </w:t>
      </w:r>
      <w:r w:rsidRPr="006B4569">
        <w:rPr>
          <w:rFonts w:ascii="Times New Roman" w:hAnsi="Times New Roman"/>
          <w:color w:val="000000" w:themeColor="text1"/>
          <w:kern w:val="0"/>
          <w:sz w:val="24"/>
          <w:szCs w:val="24"/>
          <w:lang w:eastAsia="pt-BR"/>
        </w:rPr>
        <w:t>e de</w:t>
      </w:r>
      <w:r w:rsidRPr="006B4569">
        <w:rPr>
          <w:rFonts w:ascii="Times New Roman" w:hAnsi="Times New Roman"/>
          <w:b/>
          <w:bCs/>
          <w:color w:val="000000" w:themeColor="text1"/>
          <w:kern w:val="0"/>
          <w:sz w:val="24"/>
          <w:szCs w:val="24"/>
          <w:lang w:eastAsia="pt-BR"/>
        </w:rPr>
        <w:t> </w:t>
      </w:r>
      <w:r w:rsidRPr="006B4569">
        <w:rPr>
          <w:rFonts w:ascii="Times New Roman" w:hAnsi="Times New Roman"/>
          <w:color w:val="000000" w:themeColor="text1"/>
          <w:kern w:val="0"/>
          <w:sz w:val="24"/>
          <w:szCs w:val="24"/>
          <w:lang w:eastAsia="pt-BR"/>
        </w:rPr>
        <w:t>exigências operacionais do sistema utilizado</w:t>
      </w:r>
      <w:r w:rsidRPr="006B4569">
        <w:rPr>
          <w:rFonts w:ascii="Times New Roman" w:hAnsi="Times New Roman"/>
          <w:b/>
          <w:bCs/>
          <w:color w:val="000000" w:themeColor="text1"/>
          <w:kern w:val="0"/>
          <w:sz w:val="24"/>
          <w:szCs w:val="24"/>
          <w:lang w:eastAsia="pt-BR"/>
        </w:rPr>
        <w:t xml:space="preserve">. </w:t>
      </w:r>
      <w:r w:rsidRPr="006B4569">
        <w:rPr>
          <w:rFonts w:ascii="Times New Roman" w:hAnsi="Times New Roman"/>
          <w:color w:val="000000" w:themeColor="text1"/>
          <w:kern w:val="0"/>
          <w:sz w:val="24"/>
          <w:szCs w:val="24"/>
          <w:lang w:eastAsia="pt-BR"/>
        </w:rPr>
        <w:t>Caberá ao licitante a obrigação de </w:t>
      </w:r>
      <w:r w:rsidRPr="006B4569">
        <w:rPr>
          <w:rFonts w:ascii="Times New Roman" w:hAnsi="Times New Roman"/>
          <w:b/>
          <w:bCs/>
          <w:color w:val="000000" w:themeColor="text1"/>
          <w:kern w:val="0"/>
          <w:sz w:val="24"/>
          <w:szCs w:val="24"/>
          <w:lang w:eastAsia="pt-BR"/>
        </w:rPr>
        <w:t>conferir a compatibilidade</w:t>
      </w:r>
      <w:r w:rsidRPr="006B4569">
        <w:rPr>
          <w:rFonts w:ascii="Times New Roman" w:hAnsi="Times New Roman"/>
          <w:color w:val="000000" w:themeColor="text1"/>
          <w:kern w:val="0"/>
          <w:sz w:val="24"/>
          <w:szCs w:val="24"/>
          <w:lang w:eastAsia="pt-BR"/>
        </w:rPr>
        <w:t xml:space="preserve"> entre o código eventualmente indicado e o descritivo do Termo de Referência, abstendo-se de alegar desconhecimento, equívoco ou controvérsia decorrentes de eventual descompasso entre tais elementos. </w:t>
      </w:r>
    </w:p>
    <w:p w14:paraId="29630307" w14:textId="77777777" w:rsidR="009148D9" w:rsidRPr="006B4569" w:rsidRDefault="009148D9" w:rsidP="00DC07C2">
      <w:pPr>
        <w:pStyle w:val="PargrafodaLista"/>
        <w:numPr>
          <w:ilvl w:val="2"/>
          <w:numId w:val="9"/>
        </w:numPr>
        <w:shd w:val="clear" w:color="auto" w:fill="FFFFFF" w:themeFill="background1"/>
        <w:spacing w:line="276" w:lineRule="auto"/>
        <w:ind w:left="0" w:firstLine="851"/>
        <w:jc w:val="both"/>
        <w:rPr>
          <w:rFonts w:ascii="Times New Roman" w:hAnsi="Times New Roman"/>
          <w:color w:val="000000" w:themeColor="text1"/>
          <w:kern w:val="0"/>
          <w:sz w:val="24"/>
          <w:szCs w:val="24"/>
          <w:lang w:eastAsia="pt-BR"/>
        </w:rPr>
      </w:pPr>
      <w:r w:rsidRPr="006B4569">
        <w:rPr>
          <w:rFonts w:ascii="Times New Roman" w:hAnsi="Times New Roman"/>
          <w:color w:val="000000" w:themeColor="text1"/>
          <w:kern w:val="0"/>
          <w:sz w:val="24"/>
          <w:szCs w:val="24"/>
          <w:lang w:eastAsia="pt-BR"/>
        </w:rPr>
        <w:t>A participação no certame implica </w:t>
      </w:r>
      <w:r w:rsidRPr="006B4569">
        <w:rPr>
          <w:rFonts w:ascii="Times New Roman" w:hAnsi="Times New Roman"/>
          <w:b/>
          <w:bCs/>
          <w:color w:val="000000" w:themeColor="text1"/>
          <w:kern w:val="0"/>
          <w:sz w:val="24"/>
          <w:szCs w:val="24"/>
          <w:lang w:eastAsia="pt-BR"/>
        </w:rPr>
        <w:t>aceitação expressa</w:t>
      </w:r>
      <w:r w:rsidRPr="006B4569">
        <w:rPr>
          <w:rFonts w:ascii="Times New Roman" w:hAnsi="Times New Roman"/>
          <w:color w:val="000000" w:themeColor="text1"/>
          <w:kern w:val="0"/>
          <w:sz w:val="24"/>
          <w:szCs w:val="24"/>
          <w:lang w:eastAsia="pt-BR"/>
        </w:rPr>
        <w:t> desta cláusula, renunciando-se a quaisquer questionamentos futuros baseados em suposta incongruência entre descrição e codificação.</w:t>
      </w:r>
    </w:p>
    <w:p w14:paraId="5677EC39" w14:textId="77777777" w:rsidR="009148D9" w:rsidRPr="002A2546" w:rsidRDefault="009148D9" w:rsidP="009148D9">
      <w:pPr>
        <w:pStyle w:val="PargrafodaLista"/>
        <w:shd w:val="clear" w:color="auto" w:fill="FFFFFF" w:themeFill="background1"/>
        <w:spacing w:line="276" w:lineRule="auto"/>
        <w:ind w:left="851"/>
        <w:jc w:val="both"/>
        <w:rPr>
          <w:rFonts w:ascii="Times New Roman" w:hAnsi="Times New Roman"/>
          <w:kern w:val="0"/>
          <w:sz w:val="24"/>
          <w:szCs w:val="24"/>
          <w:lang w:eastAsia="pt-BR"/>
        </w:rPr>
      </w:pPr>
    </w:p>
    <w:p w14:paraId="51AE27E3"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220682">
        <w:rPr>
          <w:rFonts w:ascii="Times New Roman" w:hAnsi="Times New Roman"/>
          <w:b/>
          <w:bCs/>
          <w:kern w:val="0"/>
          <w:sz w:val="24"/>
          <w:szCs w:val="24"/>
          <w:lang w:eastAsia="pt-BR"/>
        </w:rPr>
        <w:t>DA FUNDAMENTAÇÃO E DESCRIÇÃO DA NECESSIDADE DA CONTRATAÇÃO:</w:t>
      </w:r>
      <w:bookmarkStart w:id="3" w:name="_Hlk170988156"/>
      <w:bookmarkEnd w:id="3"/>
    </w:p>
    <w:p w14:paraId="213D1FDC"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A Secretaria de Estado da Administração do Piauí - SEAD é órgão central da administração do Governo do Estado do Piauí e possui entre os seus obje</w:t>
      </w:r>
      <w:r>
        <w:rPr>
          <w:rFonts w:ascii="Times New Roman" w:hAnsi="Times New Roman"/>
          <w:kern w:val="0"/>
          <w:sz w:val="24"/>
          <w:szCs w:val="24"/>
          <w:lang w:eastAsia="pt-BR"/>
        </w:rPr>
        <w:t>ti</w:t>
      </w:r>
      <w:r w:rsidRPr="00220682">
        <w:rPr>
          <w:rFonts w:ascii="Times New Roman" w:hAnsi="Times New Roman"/>
          <w:kern w:val="0"/>
          <w:sz w:val="24"/>
          <w:szCs w:val="24"/>
          <w:lang w:eastAsia="pt-BR"/>
        </w:rPr>
        <w:t>vos, a gestão de materiais, patrimônio e serviços auxiliares e a administração do Centro Administra</w:t>
      </w:r>
      <w:r>
        <w:rPr>
          <w:rFonts w:ascii="Times New Roman" w:hAnsi="Times New Roman"/>
          <w:kern w:val="0"/>
          <w:sz w:val="24"/>
          <w:szCs w:val="24"/>
          <w:lang w:eastAsia="pt-BR"/>
        </w:rPr>
        <w:t>ti</w:t>
      </w:r>
      <w:r w:rsidRPr="00220682">
        <w:rPr>
          <w:rFonts w:ascii="Times New Roman" w:hAnsi="Times New Roman"/>
          <w:kern w:val="0"/>
          <w:sz w:val="24"/>
          <w:szCs w:val="24"/>
          <w:lang w:eastAsia="pt-BR"/>
        </w:rPr>
        <w:t>vo, conforme art. 17, Lei n 7.884, de 08 de dezembro de 2022.</w:t>
      </w:r>
    </w:p>
    <w:p w14:paraId="40FC0015" w14:textId="77777777" w:rsidR="009148D9" w:rsidRPr="00220682" w:rsidRDefault="009148D9" w:rsidP="00DC07C2">
      <w:pPr>
        <w:pStyle w:val="PargrafodaLista"/>
        <w:numPr>
          <w:ilvl w:val="1"/>
          <w:numId w:val="9"/>
        </w:numPr>
        <w:spacing w:line="276" w:lineRule="auto"/>
        <w:ind w:left="0" w:firstLine="567"/>
        <w:jc w:val="both"/>
        <w:rPr>
          <w:rFonts w:ascii="Times New Roman" w:hAnsi="Times New Roman"/>
          <w:b/>
          <w:bCs/>
          <w:kern w:val="0"/>
          <w:sz w:val="24"/>
          <w:szCs w:val="24"/>
          <w:lang w:eastAsia="pt-BR"/>
        </w:rPr>
      </w:pPr>
      <w:r w:rsidRPr="00220682">
        <w:rPr>
          <w:rFonts w:ascii="Times New Roman" w:hAnsi="Times New Roman"/>
          <w:kern w:val="0"/>
          <w:sz w:val="24"/>
          <w:szCs w:val="24"/>
          <w:lang w:eastAsia="pt-BR"/>
        </w:rPr>
        <w:t>O inciso III, do ar</w:t>
      </w:r>
      <w:r>
        <w:rPr>
          <w:rFonts w:ascii="Times New Roman" w:hAnsi="Times New Roman"/>
          <w:kern w:val="0"/>
          <w:sz w:val="24"/>
          <w:szCs w:val="24"/>
          <w:lang w:eastAsia="pt-BR"/>
        </w:rPr>
        <w:t xml:space="preserve">t. </w:t>
      </w:r>
      <w:r w:rsidRPr="00220682">
        <w:rPr>
          <w:rFonts w:ascii="Times New Roman" w:hAnsi="Times New Roman"/>
          <w:kern w:val="0"/>
          <w:sz w:val="24"/>
          <w:szCs w:val="24"/>
          <w:lang w:eastAsia="pt-BR"/>
        </w:rPr>
        <w:t>17, da mencionada Lei, atribui ainda como competência da SEAD, exercer a </w:t>
      </w:r>
      <w:r w:rsidRPr="00220682">
        <w:rPr>
          <w:rFonts w:ascii="Times New Roman" w:hAnsi="Times New Roman"/>
          <w:b/>
          <w:bCs/>
          <w:kern w:val="0"/>
          <w:sz w:val="24"/>
          <w:szCs w:val="24"/>
          <w:lang w:eastAsia="pt-BR"/>
        </w:rPr>
        <w:t>supervisão, realização, acompanhamento e controle dos procedimentos técnico e administra</w:t>
      </w:r>
      <w:r>
        <w:rPr>
          <w:rFonts w:ascii="Times New Roman" w:hAnsi="Times New Roman"/>
          <w:b/>
          <w:bCs/>
          <w:kern w:val="0"/>
          <w:sz w:val="24"/>
          <w:szCs w:val="24"/>
          <w:lang w:eastAsia="pt-BR"/>
        </w:rPr>
        <w:t>ti</w:t>
      </w:r>
      <w:r w:rsidRPr="00220682">
        <w:rPr>
          <w:rFonts w:ascii="Times New Roman" w:hAnsi="Times New Roman"/>
          <w:b/>
          <w:bCs/>
          <w:kern w:val="0"/>
          <w:sz w:val="24"/>
          <w:szCs w:val="24"/>
          <w:lang w:eastAsia="pt-BR"/>
        </w:rPr>
        <w:t>vos das licitações e contratos</w:t>
      </w:r>
      <w:r w:rsidRPr="00220682">
        <w:rPr>
          <w:rFonts w:ascii="Times New Roman" w:hAnsi="Times New Roman"/>
          <w:kern w:val="0"/>
          <w:sz w:val="24"/>
          <w:szCs w:val="24"/>
          <w:lang w:eastAsia="pt-BR"/>
        </w:rPr>
        <w:t> dos órgãos e en</w:t>
      </w:r>
      <w:r>
        <w:rPr>
          <w:rFonts w:ascii="Times New Roman" w:hAnsi="Times New Roman"/>
          <w:kern w:val="0"/>
          <w:sz w:val="24"/>
          <w:szCs w:val="24"/>
          <w:lang w:eastAsia="pt-BR"/>
        </w:rPr>
        <w:t>ti</w:t>
      </w:r>
      <w:r w:rsidRPr="00220682">
        <w:rPr>
          <w:rFonts w:ascii="Times New Roman" w:hAnsi="Times New Roman"/>
          <w:kern w:val="0"/>
          <w:sz w:val="24"/>
          <w:szCs w:val="24"/>
          <w:lang w:eastAsia="pt-BR"/>
        </w:rPr>
        <w:t>dades da administração direta, autarquias e fundacional do Estado, inclusive contratações diretas por dispensa ou inexigibilidade de licitação, ou para formação dos correspondentes registros de preços.</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220682" w14:paraId="5FA7A728"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1E9BF23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A redação acima é meramente exemplifi</w:t>
            </w:r>
            <w:r>
              <w:rPr>
                <w:rFonts w:ascii="Times New Roman" w:hAnsi="Times New Roman"/>
                <w:kern w:val="0"/>
                <w:sz w:val="24"/>
                <w:szCs w:val="24"/>
                <w:lang w:eastAsia="pt-BR"/>
              </w:rPr>
              <w:t>cati</w:t>
            </w:r>
            <w:r w:rsidRPr="00220682">
              <w:rPr>
                <w:rFonts w:ascii="Times New Roman" w:hAnsi="Times New Roman"/>
                <w:kern w:val="0"/>
                <w:sz w:val="24"/>
                <w:szCs w:val="24"/>
                <w:lang w:eastAsia="pt-BR"/>
              </w:rPr>
              <w:t>va, devendo ser ajustada.</w:t>
            </w:r>
            <w:r w:rsidRPr="00220682">
              <w:rPr>
                <w:rFonts w:ascii="Times New Roman" w:hAnsi="Times New Roman"/>
                <w:i/>
                <w:iCs/>
                <w:kern w:val="0"/>
                <w:sz w:val="24"/>
                <w:szCs w:val="24"/>
                <w:lang w:eastAsia="pt-BR"/>
              </w:rPr>
              <w:t> </w:t>
            </w:r>
          </w:p>
        </w:tc>
      </w:tr>
    </w:tbl>
    <w:p w14:paraId="3DC48372"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36F3850E"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Da necessidade:</w:t>
      </w:r>
    </w:p>
    <w:p w14:paraId="37443F5B" w14:textId="77777777" w:rsidR="009148D9" w:rsidRPr="006B4569"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441B8F">
        <w:rPr>
          <w:rFonts w:ascii="Times New Roman" w:hAnsi="Times New Roman"/>
          <w:kern w:val="0"/>
          <w:sz w:val="24"/>
          <w:szCs w:val="24"/>
          <w:lang w:eastAsia="pt-BR"/>
        </w:rPr>
        <w:t xml:space="preserve">A justificativa da necessidade encontra-se pormenorizado em tópico específico dos Estudos Técnicos Preliminares </w:t>
      </w:r>
      <w:r w:rsidRPr="00441B8F">
        <w:rPr>
          <w:rFonts w:ascii="Times New Roman" w:hAnsi="Times New Roman"/>
          <w:color w:val="FF0000"/>
          <w:kern w:val="0"/>
          <w:sz w:val="24"/>
          <w:szCs w:val="24"/>
          <w:lang w:eastAsia="pt-BR"/>
        </w:rPr>
        <w:t xml:space="preserve">(ID </w:t>
      </w:r>
      <w:proofErr w:type="spellStart"/>
      <w:r w:rsidRPr="00441B8F">
        <w:rPr>
          <w:rFonts w:ascii="Times New Roman" w:hAnsi="Times New Roman"/>
          <w:color w:val="FF0000"/>
          <w:kern w:val="0"/>
          <w:sz w:val="24"/>
          <w:szCs w:val="24"/>
          <w:lang w:eastAsia="pt-BR"/>
        </w:rPr>
        <w:t>xxxxxxxxx</w:t>
      </w:r>
      <w:proofErr w:type="spellEnd"/>
      <w:r w:rsidRPr="00441B8F">
        <w:rPr>
          <w:rFonts w:ascii="Times New Roman" w:hAnsi="Times New Roman"/>
          <w:color w:val="FF0000"/>
          <w:kern w:val="0"/>
          <w:sz w:val="24"/>
          <w:szCs w:val="24"/>
          <w:lang w:eastAsia="pt-BR"/>
        </w:rPr>
        <w:t>)</w:t>
      </w:r>
      <w:r w:rsidRPr="00441B8F">
        <w:rPr>
          <w:rFonts w:ascii="Times New Roman" w:hAnsi="Times New Roman"/>
          <w:kern w:val="0"/>
          <w:sz w:val="24"/>
          <w:szCs w:val="24"/>
          <w:lang w:eastAsia="pt-BR"/>
        </w:rPr>
        <w:t>, apêndice deste Termo de Referência. </w:t>
      </w:r>
    </w:p>
    <w:p w14:paraId="503F54A8"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289F9FA1"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Do Quantitativo:</w:t>
      </w:r>
    </w:p>
    <w:p w14:paraId="0EBB9ADD" w14:textId="77777777" w:rsidR="009148D9"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441B8F">
        <w:rPr>
          <w:rFonts w:ascii="Times New Roman" w:hAnsi="Times New Roman"/>
          <w:kern w:val="0"/>
          <w:sz w:val="24"/>
          <w:szCs w:val="24"/>
          <w:lang w:eastAsia="pt-BR"/>
        </w:rPr>
        <w:t>O quantitativo encontra-se pormenorizado em tópico específico dos Estudos Técnicos Preliminares </w:t>
      </w:r>
      <w:r w:rsidRPr="00441B8F">
        <w:rPr>
          <w:rFonts w:ascii="Times New Roman" w:hAnsi="Times New Roman"/>
          <w:color w:val="FF0000"/>
          <w:kern w:val="0"/>
          <w:sz w:val="24"/>
          <w:szCs w:val="24"/>
          <w:lang w:eastAsia="pt-BR"/>
        </w:rPr>
        <w:t xml:space="preserve">(ID </w:t>
      </w:r>
      <w:proofErr w:type="spellStart"/>
      <w:r w:rsidRPr="00441B8F">
        <w:rPr>
          <w:rFonts w:ascii="Times New Roman" w:hAnsi="Times New Roman"/>
          <w:color w:val="FF0000"/>
          <w:kern w:val="0"/>
          <w:sz w:val="24"/>
          <w:szCs w:val="24"/>
          <w:lang w:eastAsia="pt-BR"/>
        </w:rPr>
        <w:t>xxxxxxxxxx</w:t>
      </w:r>
      <w:proofErr w:type="spellEnd"/>
      <w:r w:rsidRPr="00441B8F">
        <w:rPr>
          <w:rFonts w:ascii="Times New Roman" w:hAnsi="Times New Roman"/>
          <w:color w:val="FF0000"/>
          <w:kern w:val="0"/>
          <w:sz w:val="24"/>
          <w:szCs w:val="24"/>
          <w:lang w:eastAsia="pt-BR"/>
        </w:rPr>
        <w:t>),</w:t>
      </w:r>
      <w:r w:rsidRPr="00441B8F">
        <w:rPr>
          <w:rFonts w:ascii="Times New Roman" w:hAnsi="Times New Roman"/>
          <w:kern w:val="0"/>
          <w:sz w:val="24"/>
          <w:szCs w:val="24"/>
          <w:lang w:eastAsia="pt-BR"/>
        </w:rPr>
        <w:t xml:space="preserve"> apêndice deste Termo de Referência. </w:t>
      </w:r>
    </w:p>
    <w:tbl>
      <w:tblPr>
        <w:tblStyle w:val="Tabelacomgrade"/>
        <w:tblW w:w="8505" w:type="dxa"/>
        <w:tblInd w:w="846" w:type="dxa"/>
        <w:tblLook w:val="04A0" w:firstRow="1" w:lastRow="0" w:firstColumn="1" w:lastColumn="0" w:noHBand="0" w:noVBand="1"/>
      </w:tblPr>
      <w:tblGrid>
        <w:gridCol w:w="8505"/>
      </w:tblGrid>
      <w:tr w:rsidR="009148D9" w14:paraId="4128F21F" w14:textId="77777777" w:rsidTr="001E0434">
        <w:tc>
          <w:tcPr>
            <w:tcW w:w="8505" w:type="dxa"/>
            <w:shd w:val="clear" w:color="auto" w:fill="FFFFCC"/>
          </w:tcPr>
          <w:p w14:paraId="4E30CCAD" w14:textId="77777777" w:rsidR="009148D9" w:rsidRPr="006B4569" w:rsidRDefault="009148D9" w:rsidP="001E0434">
            <w:pPr>
              <w:pStyle w:val="PargrafodaLista"/>
              <w:spacing w:line="276" w:lineRule="auto"/>
              <w:ind w:left="0"/>
              <w:jc w:val="both"/>
              <w:rPr>
                <w:rFonts w:ascii="Times New Roman" w:hAnsi="Times New Roman"/>
                <w:color w:val="2F5496" w:themeColor="accent1" w:themeShade="BF"/>
                <w:kern w:val="0"/>
                <w:sz w:val="24"/>
                <w:szCs w:val="24"/>
                <w:lang w:eastAsia="pt-BR"/>
              </w:rPr>
            </w:pPr>
            <w:r w:rsidRPr="006B4569">
              <w:rPr>
                <w:rFonts w:ascii="Times New Roman" w:hAnsi="Times New Roman"/>
                <w:b/>
                <w:bCs/>
                <w:color w:val="2F5496" w:themeColor="accent1" w:themeShade="BF"/>
                <w:kern w:val="0"/>
                <w:sz w:val="24"/>
                <w:szCs w:val="24"/>
                <w:lang w:eastAsia="pt-BR"/>
              </w:rPr>
              <w:t>Nota Explicativa 1:</w:t>
            </w:r>
            <w:r w:rsidRPr="006B4569">
              <w:rPr>
                <w:rFonts w:ascii="Times New Roman" w:hAnsi="Times New Roman"/>
                <w:color w:val="2F5496" w:themeColor="accent1" w:themeShade="BF"/>
                <w:kern w:val="0"/>
                <w:sz w:val="24"/>
                <w:szCs w:val="24"/>
                <w:lang w:eastAsia="pt-BR"/>
              </w:rPr>
              <w:t xml:space="preserve"> Nos termos do art. 28 do Decreto Estadual n.º 21.872/2023, a elaboração do Estudo Técnico Preliminar (ETP) é </w:t>
            </w:r>
            <w:r w:rsidRPr="006B4569">
              <w:rPr>
                <w:rFonts w:ascii="Times New Roman" w:hAnsi="Times New Roman"/>
                <w:b/>
                <w:bCs/>
                <w:color w:val="2F5496" w:themeColor="accent1" w:themeShade="BF"/>
                <w:kern w:val="0"/>
                <w:sz w:val="24"/>
                <w:szCs w:val="24"/>
                <w:lang w:eastAsia="pt-BR"/>
              </w:rPr>
              <w:t>facultada</w:t>
            </w:r>
            <w:r w:rsidRPr="006B4569">
              <w:rPr>
                <w:rFonts w:ascii="Times New Roman" w:hAnsi="Times New Roman"/>
                <w:color w:val="2F5496" w:themeColor="accent1" w:themeShade="BF"/>
                <w:kern w:val="0"/>
                <w:sz w:val="24"/>
                <w:szCs w:val="24"/>
                <w:lang w:eastAsia="pt-BR"/>
              </w:rPr>
              <w:t xml:space="preserve"> nas hipóteses dos incisos I, II, VII e VIII do art. 75 e do § 7º do art. 90 da Lei Federal n.º 14.133/2021, sendo </w:t>
            </w:r>
            <w:r w:rsidRPr="006B4569">
              <w:rPr>
                <w:rFonts w:ascii="Times New Roman" w:hAnsi="Times New Roman"/>
                <w:b/>
                <w:bCs/>
                <w:color w:val="2F5496" w:themeColor="accent1" w:themeShade="BF"/>
                <w:kern w:val="0"/>
                <w:sz w:val="24"/>
                <w:szCs w:val="24"/>
                <w:lang w:eastAsia="pt-BR"/>
              </w:rPr>
              <w:t>dispensada</w:t>
            </w:r>
            <w:r w:rsidRPr="006B4569">
              <w:rPr>
                <w:rFonts w:ascii="Times New Roman" w:hAnsi="Times New Roman"/>
                <w:color w:val="2F5496" w:themeColor="accent1" w:themeShade="BF"/>
                <w:kern w:val="0"/>
                <w:sz w:val="24"/>
                <w:szCs w:val="24"/>
                <w:lang w:eastAsia="pt-BR"/>
              </w:rPr>
              <w:t xml:space="preserve"> na hipótese do inciso III do art. 75 da mesma Lei, bem como nos casos de prorrogação de contratos de serviços e fornecimentos contínuos.</w:t>
            </w:r>
            <w:r w:rsidRPr="006B4569">
              <w:rPr>
                <w:rFonts w:ascii="Times New Roman" w:hAnsi="Times New Roman"/>
                <w:color w:val="2F5496" w:themeColor="accent1" w:themeShade="BF"/>
                <w:kern w:val="0"/>
                <w:sz w:val="24"/>
                <w:szCs w:val="24"/>
                <w:lang w:eastAsia="pt-BR"/>
              </w:rPr>
              <w:br/>
              <w:t xml:space="preserve">Além disso, conforme o § 2º do referido artigo, </w:t>
            </w:r>
            <w:r w:rsidRPr="006B4569">
              <w:rPr>
                <w:rFonts w:ascii="Times New Roman" w:hAnsi="Times New Roman"/>
                <w:b/>
                <w:bCs/>
                <w:color w:val="2F5496" w:themeColor="accent1" w:themeShade="BF"/>
                <w:kern w:val="0"/>
                <w:sz w:val="24"/>
                <w:szCs w:val="24"/>
                <w:lang w:eastAsia="pt-BR"/>
              </w:rPr>
              <w:t>poderá também ser dispensada</w:t>
            </w:r>
            <w:r w:rsidRPr="006B4569">
              <w:rPr>
                <w:rFonts w:ascii="Times New Roman" w:hAnsi="Times New Roman"/>
                <w:color w:val="2F5496" w:themeColor="accent1" w:themeShade="BF"/>
                <w:kern w:val="0"/>
                <w:sz w:val="24"/>
                <w:szCs w:val="24"/>
                <w:lang w:eastAsia="pt-BR"/>
              </w:rPr>
              <w:t xml:space="preserve"> a elaboração do ETP nas contratações cujo valor estimado não ultrapasse 10 (dez) vezes os limites previstos nos incisos I e II do art. 75 da Lei n.º 14.133/2021.</w:t>
            </w:r>
            <w:r w:rsidRPr="006B4569">
              <w:rPr>
                <w:rFonts w:ascii="Times New Roman" w:hAnsi="Times New Roman"/>
                <w:color w:val="2F5496" w:themeColor="accent1" w:themeShade="BF"/>
                <w:kern w:val="0"/>
                <w:sz w:val="24"/>
                <w:szCs w:val="24"/>
                <w:lang w:eastAsia="pt-BR"/>
              </w:rPr>
              <w:br/>
            </w:r>
            <w:r w:rsidRPr="006B4569">
              <w:rPr>
                <w:rFonts w:ascii="Times New Roman" w:hAnsi="Times New Roman"/>
                <w:b/>
                <w:bCs/>
                <w:color w:val="2F5496" w:themeColor="accent1" w:themeShade="BF"/>
                <w:kern w:val="0"/>
                <w:sz w:val="24"/>
                <w:szCs w:val="24"/>
                <w:lang w:eastAsia="pt-BR"/>
              </w:rPr>
              <w:lastRenderedPageBreak/>
              <w:t>Nesses casos, quando o ETP não for elaborado</w:t>
            </w:r>
            <w:r w:rsidRPr="006B4569">
              <w:rPr>
                <w:rFonts w:ascii="Times New Roman" w:hAnsi="Times New Roman"/>
                <w:color w:val="2F5496" w:themeColor="accent1" w:themeShade="BF"/>
                <w:kern w:val="0"/>
                <w:sz w:val="24"/>
                <w:szCs w:val="24"/>
                <w:lang w:eastAsia="pt-BR"/>
              </w:rPr>
              <w:t xml:space="preserve">, a instrução processual </w:t>
            </w:r>
            <w:r w:rsidRPr="006B4569">
              <w:rPr>
                <w:rFonts w:ascii="Times New Roman" w:hAnsi="Times New Roman"/>
                <w:b/>
                <w:bCs/>
                <w:color w:val="2F5496" w:themeColor="accent1" w:themeShade="BF"/>
                <w:kern w:val="0"/>
                <w:sz w:val="24"/>
                <w:szCs w:val="24"/>
                <w:lang w:eastAsia="pt-BR"/>
              </w:rPr>
              <w:t>deverá, obrigatoriamente, conter a justificativa da necessidade da contratação, bem como a definição e a motivação do quantitativo do objeto</w:t>
            </w:r>
            <w:r w:rsidRPr="006B4569">
              <w:rPr>
                <w:rFonts w:ascii="Times New Roman" w:hAnsi="Times New Roman"/>
                <w:color w:val="2F5496" w:themeColor="accent1" w:themeShade="BF"/>
                <w:kern w:val="0"/>
                <w:sz w:val="24"/>
                <w:szCs w:val="24"/>
                <w:lang w:eastAsia="pt-BR"/>
              </w:rPr>
              <w:t>, com vistas a assegurar a adequada caracterização da demanda e a eficiência na contratação pública.</w:t>
            </w:r>
          </w:p>
        </w:tc>
      </w:tr>
    </w:tbl>
    <w:p w14:paraId="5ADD70F8" w14:textId="77777777" w:rsidR="009148D9" w:rsidRPr="00D7244D" w:rsidRDefault="009148D9" w:rsidP="009148D9">
      <w:pPr>
        <w:pStyle w:val="PargrafodaLista"/>
        <w:spacing w:line="276" w:lineRule="auto"/>
        <w:ind w:left="792"/>
        <w:jc w:val="both"/>
        <w:rPr>
          <w:rFonts w:ascii="Times New Roman" w:hAnsi="Times New Roman"/>
          <w:kern w:val="0"/>
          <w:sz w:val="24"/>
          <w:szCs w:val="24"/>
          <w:lang w:eastAsia="pt-BR"/>
        </w:rPr>
      </w:pPr>
    </w:p>
    <w:p w14:paraId="7C43AE89" w14:textId="77777777" w:rsidR="009148D9" w:rsidRPr="00F6376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Dos Fundamentos Normativos: </w:t>
      </w:r>
    </w:p>
    <w:p w14:paraId="4B8BB2CF" w14:textId="77777777" w:rsidR="009148D9" w:rsidRPr="00441B8F"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441B8F">
        <w:rPr>
          <w:rFonts w:ascii="Times New Roman" w:hAnsi="Times New Roman"/>
          <w:color w:val="FF0000"/>
          <w:kern w:val="0"/>
          <w:sz w:val="24"/>
          <w:szCs w:val="24"/>
          <w:lang w:eastAsia="pt-BR"/>
        </w:rPr>
        <w:t>O procedimento licitatório estará fundamentado no Decreto Estadual nº 21.872/2023, que regulamenta a Lei Federal nº 14.133/2021 no âmbito do Poder Executivo Estadual; Decreto Estadual 21.938/2023, que dispõe sobre o procedimento auxiliar do Sistema de Registro de Preços para a contratação de bens e serviços, inclusive de obras e serviços de engenharia, no âmbito do Poder Executivo Estadual; Lei Complementar 123/206 que estabelece normas relativas ao tratamento diferenciado e favorecido a ser dispensado as microempresas e empresas de pequeno porte; Decreto Estadual nº 16.212/2015; Lei Federal 14.133 de abril de 2021 e demais normas pertinentes com o objeto do presente procedimento licitatório.</w:t>
      </w:r>
    </w:p>
    <w:tbl>
      <w:tblPr>
        <w:tblW w:w="882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20"/>
      </w:tblGrid>
      <w:tr w:rsidR="009148D9" w:rsidRPr="00220682" w14:paraId="2DAF9F09" w14:textId="77777777" w:rsidTr="001E0434">
        <w:trPr>
          <w:tblCellSpacing w:w="7" w:type="dxa"/>
          <w:jc w:val="center"/>
        </w:trPr>
        <w:tc>
          <w:tcPr>
            <w:tcW w:w="8670" w:type="dxa"/>
            <w:tcBorders>
              <w:top w:val="outset" w:sz="6" w:space="0" w:color="auto"/>
              <w:bottom w:val="outset" w:sz="6" w:space="0" w:color="auto"/>
            </w:tcBorders>
            <w:shd w:val="clear" w:color="auto" w:fill="FFFFCC"/>
            <w:vAlign w:val="center"/>
            <w:hideMark/>
          </w:tcPr>
          <w:p w14:paraId="49577E8C"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2: </w:t>
            </w:r>
            <w:r w:rsidRPr="00220682">
              <w:rPr>
                <w:rFonts w:ascii="Times New Roman" w:hAnsi="Times New Roman"/>
                <w:kern w:val="0"/>
                <w:sz w:val="24"/>
                <w:szCs w:val="24"/>
                <w:lang w:eastAsia="pt-BR"/>
              </w:rPr>
              <w:t>Indicar o</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normativo do Decreto Estadual nº 21.938/2023 caso seja utilizado o Sistema de Registro de Preços no procedimento licitatório.</w:t>
            </w:r>
          </w:p>
          <w:p w14:paraId="3C9EA869"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Deve ser indicado todos os normativos pertinentes com o objeto da licitação.</w:t>
            </w:r>
          </w:p>
        </w:tc>
      </w:tr>
    </w:tbl>
    <w:p w14:paraId="4574DC68" w14:textId="77777777" w:rsidR="009148D9" w:rsidRDefault="009148D9" w:rsidP="009148D9">
      <w:pPr>
        <w:spacing w:line="276" w:lineRule="auto"/>
        <w:jc w:val="both"/>
        <w:rPr>
          <w:rFonts w:ascii="Times New Roman" w:hAnsi="Times New Roman"/>
          <w:kern w:val="0"/>
          <w:sz w:val="24"/>
          <w:szCs w:val="24"/>
          <w:lang w:eastAsia="pt-BR"/>
        </w:rPr>
      </w:pPr>
    </w:p>
    <w:p w14:paraId="2F386E34" w14:textId="77777777" w:rsidR="009148D9" w:rsidRPr="006B456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F6376C">
        <w:rPr>
          <w:rFonts w:ascii="Times New Roman" w:hAnsi="Times New Roman"/>
          <w:b/>
          <w:bCs/>
          <w:kern w:val="0"/>
          <w:sz w:val="24"/>
          <w:szCs w:val="24"/>
          <w:lang w:eastAsia="pt-BR"/>
        </w:rPr>
        <w:t>DA JUSTIFICATIVA PARA O PARCELAMENTO OU NÃO DA CONTRATAÇÃO:</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220682" w14:paraId="09CE9125"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22E8945D"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b/>
                <w:bCs/>
                <w:color w:val="2F5496" w:themeColor="accent1" w:themeShade="BF"/>
                <w:kern w:val="0"/>
                <w:sz w:val="24"/>
                <w:szCs w:val="24"/>
                <w:lang w:eastAsia="pt-BR"/>
              </w:rPr>
              <w:t>Nota Explicativa 1:</w:t>
            </w:r>
            <w:r w:rsidRPr="00DA4D83">
              <w:rPr>
                <w:rFonts w:ascii="Times New Roman" w:hAnsi="Times New Roman"/>
                <w:color w:val="2F5496" w:themeColor="accent1" w:themeShade="BF"/>
                <w:kern w:val="0"/>
                <w:sz w:val="24"/>
                <w:szCs w:val="24"/>
                <w:lang w:eastAsia="pt-BR"/>
              </w:rPr>
              <w:t xml:space="preserve"> O presente tópico deve ser analisado caso a caso observando os normativos expostos. </w:t>
            </w:r>
          </w:p>
          <w:p w14:paraId="4F907499"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b/>
                <w:bCs/>
                <w:color w:val="2F5496" w:themeColor="accent1" w:themeShade="BF"/>
                <w:kern w:val="0"/>
                <w:sz w:val="24"/>
                <w:szCs w:val="24"/>
                <w:lang w:eastAsia="pt-BR"/>
              </w:rPr>
              <w:t>Nota Explicativa 2:</w:t>
            </w:r>
            <w:r w:rsidRPr="00DA4D83">
              <w:rPr>
                <w:rFonts w:ascii="Times New Roman" w:hAnsi="Times New Roman"/>
                <w:color w:val="2F5496" w:themeColor="accent1" w:themeShade="BF"/>
                <w:kern w:val="0"/>
                <w:sz w:val="24"/>
                <w:szCs w:val="24"/>
                <w:lang w:eastAsia="pt-BR"/>
              </w:rPr>
              <w:t xml:space="preserve"> A justificativa para o parcelamento ou não do objeto deve constar do Estudo Técnico Preliminar (</w:t>
            </w:r>
            <w:hyperlink r:id="rId7" w:anchor="art18§1" w:tgtFrame="_blank" w:history="1">
              <w:r w:rsidRPr="00DA4D83">
                <w:rPr>
                  <w:rFonts w:ascii="Times New Roman" w:hAnsi="Times New Roman"/>
                  <w:color w:val="2F5496" w:themeColor="accent1" w:themeShade="BF"/>
                  <w:kern w:val="0"/>
                  <w:sz w:val="24"/>
                  <w:szCs w:val="24"/>
                  <w:u w:val="single"/>
                  <w:lang w:eastAsia="pt-BR"/>
                </w:rPr>
                <w:t>art. 18, §1º, inciso VIII, da Lei nº 14.133, de 2021</w:t>
              </w:r>
            </w:hyperlink>
            <w:r w:rsidRPr="00DA4D83">
              <w:rPr>
                <w:rFonts w:ascii="Times New Roman" w:hAnsi="Times New Roman"/>
                <w:color w:val="2F5496" w:themeColor="accent1" w:themeShade="BF"/>
                <w:kern w:val="0"/>
                <w:sz w:val="24"/>
                <w:szCs w:val="24"/>
                <w:lang w:eastAsia="pt-BR"/>
              </w:rPr>
              <w:t xml:space="preserve">, e </w:t>
            </w:r>
            <w:hyperlink r:id="rId8" w:anchor="art9" w:tgtFrame="_blank" w:history="1">
              <w:r w:rsidRPr="00DA4D83">
                <w:rPr>
                  <w:rFonts w:ascii="Times New Roman" w:hAnsi="Times New Roman"/>
                  <w:color w:val="2F5496" w:themeColor="accent1" w:themeShade="BF"/>
                  <w:kern w:val="0"/>
                  <w:sz w:val="24"/>
                  <w:szCs w:val="24"/>
                  <w:u w:val="single"/>
                  <w:lang w:eastAsia="pt-BR"/>
                </w:rPr>
                <w:t>art. 9º, inciso VII, da Instrução Normativa SEGES nº 58, de 8 de agosto de 2022</w:t>
              </w:r>
            </w:hyperlink>
            <w:r w:rsidRPr="00DA4D83">
              <w:rPr>
                <w:rFonts w:ascii="Times New Roman" w:hAnsi="Times New Roman"/>
                <w:color w:val="2F5496" w:themeColor="accent1" w:themeShade="BF"/>
                <w:kern w:val="0"/>
                <w:sz w:val="24"/>
                <w:szCs w:val="24"/>
                <w:lang w:eastAsia="pt-BR"/>
              </w:rPr>
              <w:t>). Os serviços, como regra, devem atender ao parcelamento quando for tecnicamente viável e economicamente vantajoso (</w:t>
            </w:r>
            <w:hyperlink r:id="rId9" w:anchor="art47" w:tgtFrame="_blank" w:history="1">
              <w:r w:rsidRPr="00DA4D83">
                <w:rPr>
                  <w:rFonts w:ascii="Times New Roman" w:hAnsi="Times New Roman"/>
                  <w:color w:val="2F5496" w:themeColor="accent1" w:themeShade="BF"/>
                  <w:kern w:val="0"/>
                  <w:sz w:val="24"/>
                  <w:szCs w:val="24"/>
                  <w:u w:val="single"/>
                  <w:lang w:eastAsia="pt-BR"/>
                </w:rPr>
                <w:t>art. 47, inciso II, da Lei n. 14.133, de 2021</w:t>
              </w:r>
            </w:hyperlink>
            <w:r w:rsidRPr="00DA4D83">
              <w:rPr>
                <w:rFonts w:ascii="Times New Roman" w:hAnsi="Times New Roman"/>
                <w:color w:val="2F5496" w:themeColor="accent1" w:themeShade="BF"/>
                <w:kern w:val="0"/>
                <w:sz w:val="24"/>
                <w:szCs w:val="24"/>
                <w:lang w:eastAsia="pt-BR"/>
              </w:rPr>
              <w:t xml:space="preserve">). Devem também ser observadas as regras do </w:t>
            </w:r>
            <w:hyperlink r:id="rId10" w:anchor="art47§1" w:tgtFrame="_blank" w:history="1">
              <w:r w:rsidRPr="00DA4D83">
                <w:rPr>
                  <w:rFonts w:ascii="Times New Roman" w:hAnsi="Times New Roman"/>
                  <w:color w:val="2F5496" w:themeColor="accent1" w:themeShade="BF"/>
                  <w:kern w:val="0"/>
                  <w:sz w:val="24"/>
                  <w:szCs w:val="24"/>
                  <w:u w:val="single"/>
                  <w:lang w:eastAsia="pt-BR"/>
                </w:rPr>
                <w:t>artigo 47, § 1º, da Lei n. 14.133, de 2021</w:t>
              </w:r>
            </w:hyperlink>
            <w:r w:rsidRPr="00DA4D83">
              <w:rPr>
                <w:rFonts w:ascii="Times New Roman" w:hAnsi="Times New Roman"/>
                <w:color w:val="2F5496" w:themeColor="accent1" w:themeShade="BF"/>
                <w:kern w:val="0"/>
                <w:sz w:val="24"/>
                <w:szCs w:val="24"/>
                <w:lang w:eastAsia="pt-BR"/>
              </w:rPr>
              <w:t>, que trata de aspectos a serem considerados na aplicação do princípio do parcelamento.</w:t>
            </w:r>
          </w:p>
          <w:p w14:paraId="73D5EFFD"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 xml:space="preserve">O artigo 40, § 2º, II da Lei 14.133/2021, destaca a hipótese legal para aplicação do Princípio do Parcelamento do objeto referente </w:t>
            </w:r>
            <w:proofErr w:type="gramStart"/>
            <w:r w:rsidRPr="00DA4D83">
              <w:rPr>
                <w:rFonts w:ascii="Times New Roman" w:hAnsi="Times New Roman"/>
                <w:color w:val="2F5496" w:themeColor="accent1" w:themeShade="BF"/>
                <w:kern w:val="0"/>
                <w:sz w:val="24"/>
                <w:szCs w:val="24"/>
                <w:lang w:eastAsia="pt-BR"/>
              </w:rPr>
              <w:t>à</w:t>
            </w:r>
            <w:proofErr w:type="gramEnd"/>
            <w:r w:rsidRPr="00DA4D83">
              <w:rPr>
                <w:rFonts w:ascii="Times New Roman" w:hAnsi="Times New Roman"/>
                <w:color w:val="2F5496" w:themeColor="accent1" w:themeShade="BF"/>
                <w:kern w:val="0"/>
                <w:sz w:val="24"/>
                <w:szCs w:val="24"/>
                <w:lang w:eastAsia="pt-BR"/>
              </w:rPr>
              <w:t xml:space="preserve"> compras. § 2º Na aplicação do princípio do parcelamento, referente às compras, deverão ser considerados I - </w:t>
            </w:r>
            <w:bookmarkStart w:id="4" w:name="_Int_3EwwwrKW"/>
            <w:r w:rsidRPr="00DA4D83">
              <w:rPr>
                <w:rFonts w:ascii="Times New Roman" w:hAnsi="Times New Roman"/>
                <w:color w:val="2F5496" w:themeColor="accent1" w:themeShade="BF"/>
                <w:kern w:val="0"/>
                <w:sz w:val="24"/>
                <w:szCs w:val="24"/>
                <w:lang w:eastAsia="pt-BR"/>
              </w:rPr>
              <w:t>a</w:t>
            </w:r>
            <w:bookmarkEnd w:id="4"/>
            <w:r w:rsidRPr="00DA4D83">
              <w:rPr>
                <w:rFonts w:ascii="Times New Roman" w:hAnsi="Times New Roman"/>
                <w:color w:val="2F5496" w:themeColor="accent1" w:themeShade="BF"/>
                <w:kern w:val="0"/>
                <w:sz w:val="24"/>
                <w:szCs w:val="24"/>
                <w:lang w:eastAsia="pt-BR"/>
              </w:rPr>
              <w:t> viabilidade da divisão do objeto em lotes; II - </w:t>
            </w:r>
            <w:bookmarkStart w:id="5" w:name="_Int_y1zXIYCm"/>
            <w:r w:rsidRPr="00DA4D83">
              <w:rPr>
                <w:rFonts w:ascii="Times New Roman" w:hAnsi="Times New Roman"/>
                <w:color w:val="2F5496" w:themeColor="accent1" w:themeShade="BF"/>
                <w:kern w:val="0"/>
                <w:sz w:val="24"/>
                <w:szCs w:val="24"/>
                <w:lang w:eastAsia="pt-BR"/>
              </w:rPr>
              <w:t>o</w:t>
            </w:r>
            <w:bookmarkEnd w:id="5"/>
            <w:r w:rsidRPr="00DA4D83">
              <w:rPr>
                <w:rFonts w:ascii="Times New Roman" w:hAnsi="Times New Roman"/>
                <w:color w:val="2F5496" w:themeColor="accent1" w:themeShade="BF"/>
                <w:kern w:val="0"/>
                <w:sz w:val="24"/>
                <w:szCs w:val="24"/>
                <w:lang w:eastAsia="pt-BR"/>
              </w:rPr>
              <w:t> aproveitamento das peculiaridades do mercado local, com vistas à economicidade, sempre que possível, desde que atendidos os parâmetros de qualidade; e III - o dever de buscar a ampliação da competição e de evitar a concentração de mercado.</w:t>
            </w:r>
          </w:p>
          <w:p w14:paraId="7164B804"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 xml:space="preserve">O entendimento do Tribunal de Contas da União na Súmula 247, vejamos: “É obrigatória a admissão da adjudicação por item e não por preço global, nos editais das licitações </w:t>
            </w:r>
            <w:r w:rsidRPr="00DA4D83">
              <w:rPr>
                <w:rFonts w:ascii="Times New Roman" w:hAnsi="Times New Roman"/>
                <w:color w:val="2F5496" w:themeColor="accent1" w:themeShade="BF"/>
                <w:kern w:val="0"/>
                <w:sz w:val="24"/>
                <w:szCs w:val="24"/>
                <w:lang w:eastAsia="pt-BR"/>
              </w:rPr>
              <w:lastRenderedPageBreak/>
              <w:t>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3FF45C14" w14:textId="77777777" w:rsidR="009148D9" w:rsidRPr="00DA4D83" w:rsidRDefault="009148D9" w:rsidP="001E0434">
            <w:pPr>
              <w:spacing w:line="276" w:lineRule="auto"/>
              <w:jc w:val="both"/>
              <w:rPr>
                <w:rFonts w:ascii="Times New Roman" w:hAnsi="Times New Roman"/>
                <w:color w:val="2F5496" w:themeColor="accent1" w:themeShade="BF"/>
                <w:kern w:val="0"/>
                <w:sz w:val="24"/>
                <w:szCs w:val="24"/>
                <w:lang w:eastAsia="pt-BR"/>
              </w:rPr>
            </w:pPr>
            <w:r w:rsidRPr="00DA4D83">
              <w:rPr>
                <w:rFonts w:ascii="Times New Roman" w:hAnsi="Times New Roman"/>
                <w:color w:val="2F5496" w:themeColor="accent1" w:themeShade="BF"/>
                <w:kern w:val="0"/>
                <w:sz w:val="24"/>
                <w:szCs w:val="24"/>
                <w:lang w:eastAsia="pt-BR"/>
              </w:rPr>
              <w:t>Como regra geral, as contratações realizadas pela Administração Pública devem observar o princípio do parcelamento, que deve ser aplicado sempre que for tecnicamente viável e economicamente vantajoso, conforme estabelecido no artigo 40, inciso V, alínea b, da Lei nº 14.133/2021. Contudo, há situações em que a própria lei restringe expressamente a possibilidade de parcelamento do objeto</w:t>
            </w:r>
          </w:p>
          <w:p w14:paraId="1C7D3107" w14:textId="77777777" w:rsidR="009148D9" w:rsidRPr="00220682" w:rsidRDefault="009148D9" w:rsidP="001E0434">
            <w:pPr>
              <w:spacing w:line="276" w:lineRule="auto"/>
              <w:jc w:val="both"/>
              <w:rPr>
                <w:rFonts w:ascii="Times New Roman" w:hAnsi="Times New Roman"/>
                <w:kern w:val="0"/>
                <w:sz w:val="24"/>
                <w:szCs w:val="24"/>
                <w:lang w:eastAsia="pt-BR"/>
              </w:rPr>
            </w:pPr>
          </w:p>
        </w:tc>
      </w:tr>
    </w:tbl>
    <w:p w14:paraId="54A2E360" w14:textId="77777777" w:rsidR="009148D9" w:rsidRDefault="009148D9" w:rsidP="009148D9">
      <w:pPr>
        <w:pStyle w:val="PargrafodaLista"/>
        <w:spacing w:line="276" w:lineRule="auto"/>
        <w:ind w:left="360"/>
        <w:jc w:val="both"/>
        <w:rPr>
          <w:rFonts w:ascii="Times New Roman" w:hAnsi="Times New Roman"/>
          <w:b/>
          <w:bCs/>
          <w:kern w:val="0"/>
          <w:sz w:val="24"/>
          <w:szCs w:val="24"/>
          <w:lang w:eastAsia="pt-BR"/>
        </w:rPr>
      </w:pPr>
    </w:p>
    <w:p w14:paraId="07F9B6CA"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F6376C">
        <w:rPr>
          <w:rFonts w:ascii="Times New Roman" w:hAnsi="Times New Roman"/>
          <w:b/>
          <w:bCs/>
          <w:kern w:val="0"/>
          <w:sz w:val="24"/>
          <w:szCs w:val="24"/>
          <w:lang w:eastAsia="pt-BR"/>
        </w:rPr>
        <w:t>DA DESCRIÇÃO DA SOLUÇÃO:</w:t>
      </w:r>
    </w:p>
    <w:p w14:paraId="11E61FDA" w14:textId="77777777" w:rsidR="009148D9" w:rsidRPr="006B4569" w:rsidRDefault="009148D9" w:rsidP="00DC07C2">
      <w:pPr>
        <w:pStyle w:val="PargrafodaLista"/>
        <w:numPr>
          <w:ilvl w:val="1"/>
          <w:numId w:val="13"/>
        </w:numPr>
        <w:spacing w:line="276" w:lineRule="auto"/>
        <w:ind w:left="0" w:firstLine="567"/>
        <w:jc w:val="both"/>
        <w:rPr>
          <w:rFonts w:ascii="Times New Roman" w:hAnsi="Times New Roman"/>
          <w:kern w:val="0"/>
          <w:sz w:val="24"/>
          <w:szCs w:val="24"/>
          <w:lang w:eastAsia="pt-BR"/>
        </w:rPr>
      </w:pPr>
      <w:r w:rsidRPr="00F6376C">
        <w:rPr>
          <w:rFonts w:ascii="Times New Roman" w:hAnsi="Times New Roman"/>
          <w:kern w:val="0"/>
          <w:sz w:val="24"/>
          <w:szCs w:val="24"/>
          <w:lang w:eastAsia="pt-BR"/>
        </w:rPr>
        <w:t>A descrição com um todo, compreende a futura e eventual contratação para</w:t>
      </w:r>
      <w:r w:rsidRPr="00F6376C">
        <w:rPr>
          <w:rFonts w:ascii="Times New Roman" w:hAnsi="Times New Roman"/>
          <w:b/>
          <w:bCs/>
          <w:color w:val="FF0000"/>
          <w:kern w:val="0"/>
          <w:sz w:val="24"/>
          <w:szCs w:val="24"/>
          <w:lang w:eastAsia="pt-BR"/>
        </w:rPr>
        <w:t> </w:t>
      </w:r>
      <w:r w:rsidRPr="00441B8F">
        <w:rPr>
          <w:rFonts w:ascii="Times New Roman" w:hAnsi="Times New Roman"/>
          <w:color w:val="FF0000"/>
          <w:kern w:val="0"/>
          <w:sz w:val="24"/>
          <w:szCs w:val="24"/>
          <w:lang w:eastAsia="pt-BR"/>
        </w:rPr>
        <w:t>[</w:t>
      </w:r>
      <w:r w:rsidRPr="00441B8F">
        <w:rPr>
          <w:rFonts w:ascii="Times New Roman" w:hAnsi="Times New Roman"/>
          <w:b/>
          <w:bCs/>
          <w:color w:val="FF0000"/>
          <w:kern w:val="0"/>
          <w:sz w:val="24"/>
          <w:szCs w:val="24"/>
          <w:lang w:eastAsia="pt-BR"/>
        </w:rPr>
        <w:t>INSERIR OBJETO</w:t>
      </w:r>
      <w:r w:rsidRPr="00441B8F">
        <w:rPr>
          <w:rFonts w:ascii="Times New Roman" w:hAnsi="Times New Roman"/>
          <w:color w:val="FF0000"/>
          <w:kern w:val="0"/>
          <w:sz w:val="24"/>
          <w:szCs w:val="24"/>
          <w:lang w:eastAsia="pt-BR"/>
        </w:rPr>
        <w:t>].</w:t>
      </w:r>
    </w:p>
    <w:p w14:paraId="4460B813" w14:textId="77777777" w:rsidR="009148D9" w:rsidRPr="00BE3602" w:rsidRDefault="009148D9" w:rsidP="00DC07C2">
      <w:pPr>
        <w:pStyle w:val="PargrafodaLista"/>
        <w:numPr>
          <w:ilvl w:val="1"/>
          <w:numId w:val="13"/>
        </w:numPr>
        <w:spacing w:line="276" w:lineRule="auto"/>
        <w:ind w:left="0" w:firstLine="567"/>
        <w:jc w:val="both"/>
        <w:rPr>
          <w:rFonts w:ascii="Times New Roman" w:hAnsi="Times New Roman"/>
          <w:kern w:val="0"/>
          <w:sz w:val="24"/>
          <w:szCs w:val="24"/>
          <w:lang w:eastAsia="pt-BR"/>
        </w:rPr>
      </w:pPr>
      <w:r w:rsidRPr="00F6376C">
        <w:rPr>
          <w:rFonts w:ascii="Times New Roman" w:hAnsi="Times New Roman"/>
          <w:kern w:val="0"/>
          <w:sz w:val="24"/>
          <w:szCs w:val="24"/>
          <w:lang w:eastAsia="pt-BR"/>
        </w:rPr>
        <w:t xml:space="preserve">A descrição da solução como um todo </w:t>
      </w:r>
      <w:r>
        <w:rPr>
          <w:rFonts w:ascii="Times New Roman" w:hAnsi="Times New Roman"/>
          <w:kern w:val="0"/>
          <w:sz w:val="24"/>
          <w:szCs w:val="24"/>
          <w:lang w:eastAsia="pt-BR"/>
        </w:rPr>
        <w:t xml:space="preserve">engloba </w:t>
      </w:r>
      <w:r w:rsidRPr="00DA4D83">
        <w:rPr>
          <w:rFonts w:ascii="Times New Roman" w:hAnsi="Times New Roman"/>
          <w:color w:val="FF0000"/>
          <w:kern w:val="0"/>
          <w:sz w:val="24"/>
          <w:szCs w:val="24"/>
          <w:lang w:eastAsia="pt-BR"/>
        </w:rPr>
        <w:t>[inserir todas as nuan</w:t>
      </w:r>
      <w:r>
        <w:rPr>
          <w:rFonts w:ascii="Times New Roman" w:hAnsi="Times New Roman"/>
          <w:color w:val="FF0000"/>
          <w:kern w:val="0"/>
          <w:sz w:val="24"/>
          <w:szCs w:val="24"/>
          <w:lang w:eastAsia="pt-BR"/>
        </w:rPr>
        <w:t>ç</w:t>
      </w:r>
      <w:r w:rsidRPr="00DA4D83">
        <w:rPr>
          <w:rFonts w:ascii="Times New Roman" w:hAnsi="Times New Roman"/>
          <w:color w:val="FF0000"/>
          <w:kern w:val="0"/>
          <w:sz w:val="24"/>
          <w:szCs w:val="24"/>
          <w:lang w:eastAsia="pt-BR"/>
        </w:rPr>
        <w:t>a</w:t>
      </w:r>
      <w:r>
        <w:rPr>
          <w:rFonts w:ascii="Times New Roman" w:hAnsi="Times New Roman"/>
          <w:color w:val="FF0000"/>
          <w:kern w:val="0"/>
          <w:sz w:val="24"/>
          <w:szCs w:val="24"/>
          <w:lang w:eastAsia="pt-BR"/>
        </w:rPr>
        <w:t>s</w:t>
      </w:r>
      <w:r w:rsidRPr="00DA4D83">
        <w:rPr>
          <w:rFonts w:ascii="Times New Roman" w:hAnsi="Times New Roman"/>
          <w:color w:val="FF0000"/>
          <w:kern w:val="0"/>
          <w:sz w:val="24"/>
          <w:szCs w:val="24"/>
          <w:lang w:eastAsia="pt-BR"/>
        </w:rPr>
        <w:t xml:space="preserve"> para a aquisição do bem]</w:t>
      </w:r>
    </w:p>
    <w:tbl>
      <w:tblPr>
        <w:tblpPr w:leftFromText="141" w:rightFromText="141" w:vertAnchor="text" w:horzAnchor="margin" w:tblpY="53"/>
        <w:tblW w:w="9072"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72"/>
      </w:tblGrid>
      <w:tr w:rsidR="009148D9" w:rsidRPr="00220682" w14:paraId="526737CF" w14:textId="77777777" w:rsidTr="001E0434">
        <w:trPr>
          <w:tblCellSpacing w:w="7" w:type="dxa"/>
        </w:trPr>
        <w:tc>
          <w:tcPr>
            <w:tcW w:w="9044" w:type="dxa"/>
            <w:tcBorders>
              <w:top w:val="outset" w:sz="6" w:space="0" w:color="auto"/>
              <w:bottom w:val="outset" w:sz="6" w:space="0" w:color="auto"/>
            </w:tcBorders>
            <w:shd w:val="clear" w:color="auto" w:fill="FFFFCC"/>
            <w:vAlign w:val="center"/>
            <w:hideMark/>
          </w:tcPr>
          <w:p w14:paraId="4D828E7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xml:space="preserve"> 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w:t>
            </w:r>
            <w:hyperlink r:id="rId11" w:anchor=":~:text=LEI%20N%C2%BA%204.150%2C%20DE%2021,T%C3%A9cnicas%20e%20d%C3%A1%20outras%20provid%C3%AAncias." w:tgtFrame="_blank" w:history="1">
              <w:r w:rsidRPr="00220682">
                <w:rPr>
                  <w:rFonts w:ascii="Times New Roman" w:hAnsi="Times New Roman"/>
                  <w:color w:val="0000FF"/>
                  <w:kern w:val="0"/>
                  <w:sz w:val="24"/>
                  <w:szCs w:val="24"/>
                  <w:u w:val="single"/>
                  <w:lang w:eastAsia="pt-BR"/>
                </w:rPr>
                <w:t>Lei n° 4.150, de 21 de novembro de 1962</w:t>
              </w:r>
            </w:hyperlink>
            <w:r w:rsidRPr="00220682">
              <w:rPr>
                <w:rFonts w:ascii="Times New Roman" w:hAnsi="Times New Roman"/>
                <w:kern w:val="0"/>
                <w:sz w:val="24"/>
                <w:szCs w:val="24"/>
                <w:lang w:eastAsia="pt-BR"/>
              </w:rPr>
              <w:t>.</w:t>
            </w:r>
          </w:p>
          <w:p w14:paraId="24A1263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xml:space="preserve"> No Estudo Técnico Preliminar (ETP) no tópico específico deve conter a descrição da solução como um todo, inclusive das exigências relacionadas à manutenção e à assistência técnica, quando for o caso.</w:t>
            </w:r>
          </w:p>
          <w:p w14:paraId="55447096"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Ver também </w:t>
            </w:r>
            <w:hyperlink r:id="rId12" w:tgtFrame="_blank" w:history="1">
              <w:r w:rsidRPr="00220682">
                <w:rPr>
                  <w:rFonts w:ascii="Times New Roman" w:hAnsi="Times New Roman"/>
                  <w:color w:val="0000FF"/>
                  <w:kern w:val="0"/>
                  <w:sz w:val="24"/>
                  <w:szCs w:val="24"/>
                  <w:u w:val="single"/>
                  <w:lang w:eastAsia="pt-BR"/>
                </w:rPr>
                <w:t>Instrução Normativa SEGES/ME nº 58, de 08 de agosto de 2022</w:t>
              </w:r>
            </w:hyperlink>
            <w:r w:rsidRPr="00220682">
              <w:rPr>
                <w:rFonts w:ascii="Times New Roman" w:hAnsi="Times New Roman"/>
                <w:kern w:val="0"/>
                <w:sz w:val="24"/>
                <w:szCs w:val="24"/>
                <w:lang w:eastAsia="pt-BR"/>
              </w:rPr>
              <w:t xml:space="preserve"> (ETP), art. 3º, inciso I e art. 6º. Caso haja a necessidade de modificação da descrição em relação à originalmente feita nos estudos técnicos preliminares, recomenda-se ajustar a redação deste dispositivo, para que passe a contemplar essa alteração.</w:t>
            </w:r>
          </w:p>
          <w:p w14:paraId="3DA00B73"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A </w:t>
            </w:r>
            <w:hyperlink r:id="rId13" w:tgtFrame="_blank" w:history="1">
              <w:r w:rsidRPr="00220682">
                <w:rPr>
                  <w:rFonts w:ascii="Times New Roman" w:hAnsi="Times New Roman"/>
                  <w:color w:val="0000FF"/>
                  <w:kern w:val="0"/>
                  <w:sz w:val="24"/>
                  <w:szCs w:val="24"/>
                  <w:u w:val="single"/>
                  <w:lang w:eastAsia="pt-BR"/>
                </w:rPr>
                <w:t>Instrução Normativa Seges/ME nº 81, de 2022</w:t>
              </w:r>
            </w:hyperlink>
            <w:r w:rsidRPr="00220682">
              <w:rPr>
                <w:rFonts w:ascii="Times New Roman" w:hAnsi="Times New Roman"/>
                <w:kern w:val="0"/>
                <w:sz w:val="24"/>
                <w:szCs w:val="24"/>
                <w:lang w:eastAsia="pt-BR"/>
              </w:rPr>
              <w:t>, também trata da necessidade de descrição da solução como um todo, considerado todo o ciclo de vida do objeto, com preferência a arranjos inovadores em sede de economia circular, conforme seu artigo 9º, inciso III. Tal orientação deve ser adotada naquilo em que compatível com a contratação de serviços.</w:t>
            </w:r>
          </w:p>
          <w:p w14:paraId="3FE4164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w:t>
            </w:r>
            <w:r w:rsidRPr="00220682">
              <w:rPr>
                <w:rFonts w:ascii="Times New Roman" w:hAnsi="Times New Roman"/>
                <w:kern w:val="0"/>
                <w:sz w:val="24"/>
                <w:szCs w:val="24"/>
                <w:lang w:eastAsia="pt-BR"/>
              </w:rPr>
              <w:t xml:space="preserve">: A </w:t>
            </w:r>
            <w:hyperlink r:id="rId14" w:tgtFrame="_blank" w:history="1">
              <w:r w:rsidRPr="00220682">
                <w:rPr>
                  <w:rFonts w:ascii="Times New Roman" w:hAnsi="Times New Roman"/>
                  <w:color w:val="0000FF"/>
                  <w:kern w:val="0"/>
                  <w:sz w:val="24"/>
                  <w:szCs w:val="24"/>
                  <w:u w:val="single"/>
                  <w:lang w:eastAsia="pt-BR"/>
                </w:rPr>
                <w:t>Instrução Normativa SEGES/ME nº 73, de 30 de setembro de 2022</w:t>
              </w:r>
            </w:hyperlink>
            <w:r w:rsidRPr="00220682">
              <w:rPr>
                <w:rFonts w:ascii="Times New Roman" w:hAnsi="Times New Roman"/>
                <w:kern w:val="0"/>
                <w:sz w:val="24"/>
                <w:szCs w:val="24"/>
                <w:lang w:eastAsia="pt-BR"/>
              </w:rPr>
              <w:t xml:space="preserve">, em seu art. 9º, §1º, estabelece que os custos indiretos, relacionados às despesas de manutenção, utilização, reposição, depreciação e impacto ambiental, entre outros fatores vinculados ao seu ciclo de vida, poderão ser considerados para a definição do menor dispêndio, sempre que objetivamente mensuráveis, conforme parâmetros definidos em regulamento, de acordo com </w:t>
            </w:r>
            <w:r w:rsidRPr="00220682">
              <w:rPr>
                <w:rFonts w:ascii="Times New Roman" w:hAnsi="Times New Roman"/>
                <w:kern w:val="0"/>
                <w:sz w:val="24"/>
                <w:szCs w:val="24"/>
                <w:lang w:eastAsia="pt-BR"/>
              </w:rPr>
              <w:lastRenderedPageBreak/>
              <w:t xml:space="preserve">o </w:t>
            </w:r>
            <w:hyperlink r:id="rId15" w:anchor="art34§1" w:tgtFrame="_blank" w:history="1">
              <w:r w:rsidRPr="00220682">
                <w:rPr>
                  <w:rFonts w:ascii="Times New Roman" w:hAnsi="Times New Roman"/>
                  <w:color w:val="0000FF"/>
                  <w:kern w:val="0"/>
                  <w:sz w:val="24"/>
                  <w:szCs w:val="24"/>
                  <w:u w:val="single"/>
                  <w:lang w:eastAsia="pt-BR"/>
                </w:rPr>
                <w:t>§ 1º do art. 34 da Lei nº 14.133, de 2021</w:t>
              </w:r>
            </w:hyperlink>
            <w:r w:rsidRPr="00220682">
              <w:rPr>
                <w:rFonts w:ascii="Times New Roman" w:hAnsi="Times New Roman"/>
                <w:kern w:val="0"/>
                <w:sz w:val="24"/>
                <w:szCs w:val="24"/>
                <w:lang w:eastAsia="pt-BR"/>
              </w:rPr>
              <w:t>. Logo, a definição do menor dispêndio para Administração deve levar em consideração esse aspecto.</w:t>
            </w:r>
          </w:p>
          <w:p w14:paraId="2C37003A"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4: </w:t>
            </w:r>
            <w:r w:rsidRPr="00220682">
              <w:rPr>
                <w:rFonts w:ascii="Times New Roman" w:hAnsi="Times New Roman"/>
                <w:kern w:val="0"/>
                <w:sz w:val="24"/>
                <w:szCs w:val="24"/>
                <w:lang w:eastAsia="pt-BR"/>
              </w:rPr>
              <w:t xml:space="preserve">O </w:t>
            </w:r>
            <w:hyperlink r:id="rId16" w:anchor="art6" w:tgtFrame="_blank" w:history="1">
              <w:r w:rsidRPr="00220682">
                <w:rPr>
                  <w:rFonts w:ascii="Times New Roman" w:hAnsi="Times New Roman"/>
                  <w:color w:val="0000FF"/>
                  <w:kern w:val="0"/>
                  <w:sz w:val="24"/>
                  <w:szCs w:val="24"/>
                  <w:u w:val="single"/>
                  <w:lang w:eastAsia="pt-BR"/>
                </w:rPr>
                <w:t>art. 6º, XXIII, “c”, da Lei nº 14.133, de 2021</w:t>
              </w:r>
            </w:hyperlink>
            <w:r w:rsidRPr="00220682">
              <w:rPr>
                <w:rFonts w:ascii="Times New Roman" w:hAnsi="Times New Roman"/>
                <w:kern w:val="0"/>
                <w:sz w:val="24"/>
                <w:szCs w:val="24"/>
                <w:lang w:eastAsia="pt-BR"/>
              </w:rPr>
              <w:t xml:space="preserve">, e o </w:t>
            </w:r>
            <w:hyperlink r:id="rId17" w:tgtFrame="_blank" w:history="1">
              <w:r w:rsidRPr="00220682">
                <w:rPr>
                  <w:rFonts w:ascii="Times New Roman" w:hAnsi="Times New Roman"/>
                  <w:color w:val="0000FF"/>
                  <w:kern w:val="0"/>
                  <w:sz w:val="24"/>
                  <w:szCs w:val="24"/>
                  <w:u w:val="single"/>
                  <w:lang w:eastAsia="pt-BR"/>
                </w:rPr>
                <w:t>art. 9º, IIII, da Instrução Normativa Seges/ME nº 81, de 2022</w:t>
              </w:r>
            </w:hyperlink>
            <w:r w:rsidRPr="00220682">
              <w:rPr>
                <w:rFonts w:ascii="Times New Roman" w:hAnsi="Times New Roman"/>
                <w:kern w:val="0"/>
                <w:sz w:val="24"/>
                <w:szCs w:val="24"/>
                <w:lang w:eastAsia="pt-BR"/>
              </w:rPr>
              <w:t>,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14:paraId="55107C86"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5:</w:t>
            </w:r>
            <w:r w:rsidRPr="00220682">
              <w:rPr>
                <w:rFonts w:ascii="Times New Roman" w:hAnsi="Times New Roman"/>
                <w:kern w:val="0"/>
                <w:sz w:val="24"/>
                <w:szCs w:val="24"/>
                <w:lang w:eastAsia="pt-BR"/>
              </w:rPr>
              <w:t xml:space="preserve"> O </w:t>
            </w:r>
            <w:hyperlink r:id="rId18" w:anchor="art47" w:tgtFrame="_blank" w:history="1">
              <w:r w:rsidRPr="00220682">
                <w:rPr>
                  <w:rFonts w:ascii="Times New Roman" w:hAnsi="Times New Roman"/>
                  <w:color w:val="0000FF"/>
                  <w:kern w:val="0"/>
                  <w:sz w:val="24"/>
                  <w:szCs w:val="24"/>
                  <w:u w:val="single"/>
                  <w:lang w:eastAsia="pt-BR"/>
                </w:rPr>
                <w:t>art. 47, I, da Lei nº 14.133, de 2021,</w:t>
              </w:r>
            </w:hyperlink>
            <w:r w:rsidRPr="00220682">
              <w:rPr>
                <w:rFonts w:ascii="Times New Roman" w:hAnsi="Times New Roman"/>
                <w:kern w:val="0"/>
                <w:sz w:val="24"/>
                <w:szCs w:val="24"/>
                <w:lang w:eastAsia="pt-BR"/>
              </w:rPr>
              <w:t xml:space="preserve"> e o </w:t>
            </w:r>
            <w:hyperlink r:id="rId19" w:tgtFrame="_blank" w:history="1">
              <w:r w:rsidRPr="00220682">
                <w:rPr>
                  <w:rFonts w:ascii="Times New Roman" w:hAnsi="Times New Roman"/>
                  <w:color w:val="0000FF"/>
                  <w:kern w:val="0"/>
                  <w:sz w:val="24"/>
                  <w:szCs w:val="24"/>
                  <w:u w:val="single"/>
                  <w:lang w:eastAsia="pt-BR"/>
                </w:rPr>
                <w:t>art. 9º, inciso I, alínea b, da Instrução Normativa Seges/ME nº 81, de 2022</w:t>
              </w:r>
            </w:hyperlink>
            <w:r w:rsidRPr="00220682">
              <w:rPr>
                <w:rFonts w:ascii="Times New Roman" w:hAnsi="Times New Roman"/>
                <w:kern w:val="0"/>
                <w:sz w:val="24"/>
                <w:szCs w:val="24"/>
                <w:lang w:eastAsia="pt-BR"/>
              </w:rPr>
              <w:t xml:space="preserve">, estabelece que deve ser feita a especificação do produto/bem/serviço, preferencialmente conforme catálogo eletrônico de padronização, observados os requisitos de qualidade, rendimento, durabilidade e segurança considerada a compatibilidade de especificações estéticas, técnicas ou de desempenho. A </w:t>
            </w:r>
            <w:hyperlink r:id="rId20" w:tgtFrame="_blank" w:history="1">
              <w:r w:rsidRPr="00220682">
                <w:rPr>
                  <w:rFonts w:ascii="Times New Roman" w:hAnsi="Times New Roman"/>
                  <w:color w:val="0000FF"/>
                  <w:kern w:val="0"/>
                  <w:sz w:val="24"/>
                  <w:szCs w:val="24"/>
                  <w:u w:val="single"/>
                  <w:lang w:eastAsia="pt-BR"/>
                </w:rPr>
                <w:t>Portaria SEGES/ME nº 938, de 02 de fevereiro de 2022</w:t>
              </w:r>
            </w:hyperlink>
            <w:r w:rsidRPr="00220682">
              <w:rPr>
                <w:rFonts w:ascii="Times New Roman" w:hAnsi="Times New Roman"/>
                <w:kern w:val="0"/>
                <w:sz w:val="24"/>
                <w:szCs w:val="24"/>
                <w:lang w:eastAsia="pt-BR"/>
              </w:rPr>
              <w:t xml:space="preserve">, instituiu o catálogo eletrônico de padronização, o qual deverá ser consultado para verificar se a contratação almejada está contemplada em seus termos, em caso de licitação cujo critério de julgamento seja o de menor preço ou o de maior desconto, bem como nas contratações diretas de que tratam os </w:t>
            </w:r>
            <w:hyperlink r:id="rId21" w:anchor="art74" w:tgtFrame="_blank" w:history="1">
              <w:r w:rsidRPr="00220682">
                <w:rPr>
                  <w:rFonts w:ascii="Times New Roman" w:hAnsi="Times New Roman"/>
                  <w:color w:val="0000FF"/>
                  <w:kern w:val="0"/>
                  <w:sz w:val="24"/>
                  <w:szCs w:val="24"/>
                  <w:u w:val="single"/>
                  <w:lang w:eastAsia="pt-BR"/>
                </w:rPr>
                <w:t>incisos I do art. 74 e os incisos I e II do art. 75 da Lei nº 14.133, de 2021</w:t>
              </w:r>
            </w:hyperlink>
            <w:r w:rsidRPr="00220682">
              <w:rPr>
                <w:rFonts w:ascii="Times New Roman" w:hAnsi="Times New Roman"/>
                <w:kern w:val="0"/>
                <w:sz w:val="24"/>
                <w:szCs w:val="24"/>
                <w:lang w:eastAsia="pt-BR"/>
              </w:rPr>
              <w:t>. Em existindo padronização aprovada, ela deve ser considerada e eventual não-uso justificado nos autos.</w:t>
            </w:r>
          </w:p>
          <w:p w14:paraId="7485F72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6:</w:t>
            </w:r>
            <w:r w:rsidRPr="00220682">
              <w:rPr>
                <w:rFonts w:ascii="Times New Roman" w:hAnsi="Times New Roman"/>
                <w:kern w:val="0"/>
                <w:sz w:val="24"/>
                <w:szCs w:val="24"/>
                <w:lang w:eastAsia="pt-BR"/>
              </w:rPr>
              <w:t xml:space="preserve"> Em havendo elementos de sustentabilidade inerentes ao objeto contratual, estes devem constar na solução como um todo de modo específico e concreto, evitando-se descrições genéricas, de difícil aferição e controle. Recomenda-se destacar em tópicos específicos da descrição do objeto seus elementos atinentes a aspectos de sustentabilidade. Sugere-se consultar o </w:t>
            </w:r>
            <w:hyperlink r:id="rId22" w:tgtFrame="_blank" w:history="1">
              <w:r w:rsidRPr="00220682">
                <w:rPr>
                  <w:rFonts w:ascii="Times New Roman" w:hAnsi="Times New Roman"/>
                  <w:color w:val="0000FF"/>
                  <w:kern w:val="0"/>
                  <w:sz w:val="24"/>
                  <w:szCs w:val="24"/>
                  <w:u w:val="single"/>
                  <w:lang w:eastAsia="pt-BR"/>
                </w:rPr>
                <w:t>Guia Nacional de Contratações Sustentáveis da AGU</w:t>
              </w:r>
            </w:hyperlink>
            <w:r w:rsidRPr="00220682">
              <w:rPr>
                <w:rFonts w:ascii="Times New Roman" w:hAnsi="Times New Roman"/>
                <w:kern w:val="0"/>
                <w:sz w:val="24"/>
                <w:szCs w:val="24"/>
                <w:lang w:eastAsia="pt-BR"/>
              </w:rPr>
              <w:t xml:space="preserve"> para tal fim. Caso o Estudo Técnico Preliminar seja silente ou insuficiente a esse respeito, recomenda-se abrir tópico específico nesta seção sobre a matéria.</w:t>
            </w:r>
          </w:p>
        </w:tc>
      </w:tr>
    </w:tbl>
    <w:p w14:paraId="5CD4D34B" w14:textId="77777777" w:rsidR="009148D9" w:rsidRDefault="009148D9" w:rsidP="00DC07C2">
      <w:pPr>
        <w:pStyle w:val="Nvel2-Red"/>
        <w:numPr>
          <w:ilvl w:val="1"/>
          <w:numId w:val="13"/>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lastRenderedPageBreak/>
        <w:t xml:space="preserve">Para os itens </w:t>
      </w:r>
      <w:r>
        <w:rPr>
          <w:rFonts w:ascii="Times New Roman" w:hAnsi="Times New Roman" w:cs="Times New Roman"/>
          <w:i w:val="0"/>
          <w:iCs w:val="0"/>
          <w:color w:val="2E74B5" w:themeColor="accent5" w:themeShade="BF"/>
          <w:sz w:val="24"/>
          <w:szCs w:val="24"/>
        </w:rPr>
        <w:t>[</w:t>
      </w:r>
      <w:r w:rsidRPr="00BE3602">
        <w:rPr>
          <w:rFonts w:ascii="Times New Roman" w:hAnsi="Times New Roman" w:cs="Times New Roman"/>
          <w:i w:val="0"/>
          <w:iCs w:val="0"/>
          <w:color w:val="2E74B5" w:themeColor="accent5" w:themeShade="BF"/>
          <w:sz w:val="24"/>
          <w:szCs w:val="24"/>
        </w:rPr>
        <w:t>XX, XX, XX</w:t>
      </w:r>
      <w:r>
        <w:rPr>
          <w:rFonts w:ascii="Times New Roman" w:hAnsi="Times New Roman" w:cs="Times New Roman"/>
          <w:i w:val="0"/>
          <w:iCs w:val="0"/>
          <w:color w:val="2E74B5" w:themeColor="accent5" w:themeShade="BF"/>
          <w:sz w:val="24"/>
          <w:szCs w:val="24"/>
        </w:rPr>
        <w:t>]</w:t>
      </w:r>
      <w:r w:rsidRPr="00BE3602">
        <w:rPr>
          <w:rFonts w:ascii="Times New Roman" w:hAnsi="Times New Roman" w:cs="Times New Roman"/>
          <w:i w:val="0"/>
          <w:iCs w:val="0"/>
          <w:color w:val="2E74B5" w:themeColor="accent5" w:themeShade="BF"/>
          <w:sz w:val="24"/>
          <w:szCs w:val="24"/>
        </w:rPr>
        <w:t>, a participação é exclusiva a microempresas e empresas de pequeno porte, nos termos do art. 48 da Lei Complementar nº 123, de 14 de dezembro de 2006.</w:t>
      </w:r>
    </w:p>
    <w:p w14:paraId="6BBACEF1" w14:textId="77777777" w:rsidR="009148D9" w:rsidRDefault="009148D9" w:rsidP="00DC07C2">
      <w:pPr>
        <w:pStyle w:val="Nvel2-Red"/>
        <w:numPr>
          <w:ilvl w:val="1"/>
          <w:numId w:val="13"/>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78A1E690" w14:textId="77777777" w:rsidR="009148D9" w:rsidRPr="00BE3602" w:rsidRDefault="009148D9" w:rsidP="00DC07C2">
      <w:pPr>
        <w:pStyle w:val="Nvel2-Red"/>
        <w:numPr>
          <w:ilvl w:val="1"/>
          <w:numId w:val="13"/>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lastRenderedPageBreak/>
        <w:t>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w:t>
      </w:r>
    </w:p>
    <w:p w14:paraId="76171B9E" w14:textId="77777777" w:rsidR="009148D9" w:rsidRPr="00BE3602" w:rsidRDefault="009148D9" w:rsidP="009148D9">
      <w:pPr>
        <w:pStyle w:val="Nvel2-Red"/>
        <w:ind w:left="792" w:firstLine="0"/>
        <w:jc w:val="center"/>
        <w:rPr>
          <w:rFonts w:ascii="Times New Roman" w:hAnsi="Times New Roman" w:cs="Times New Roman"/>
          <w:b/>
          <w:bCs/>
          <w:i w:val="0"/>
          <w:iCs w:val="0"/>
          <w:color w:val="2E74B5" w:themeColor="accent5" w:themeShade="BF"/>
          <w:sz w:val="24"/>
          <w:szCs w:val="24"/>
        </w:rPr>
      </w:pPr>
      <w:r w:rsidRPr="00BE3602">
        <w:rPr>
          <w:rFonts w:ascii="Times New Roman" w:hAnsi="Times New Roman" w:cs="Times New Roman"/>
          <w:b/>
          <w:bCs/>
          <w:i w:val="0"/>
          <w:iCs w:val="0"/>
          <w:color w:val="2E74B5" w:themeColor="accent5" w:themeShade="BF"/>
        </w:rPr>
        <w:t>OU</w:t>
      </w:r>
    </w:p>
    <w:p w14:paraId="6F8B7F98" w14:textId="77777777" w:rsidR="009148D9" w:rsidRPr="00BE3602" w:rsidRDefault="009148D9" w:rsidP="00DC07C2">
      <w:pPr>
        <w:pStyle w:val="Nvel2-Red"/>
        <w:numPr>
          <w:ilvl w:val="1"/>
          <w:numId w:val="14"/>
        </w:numPr>
        <w:rPr>
          <w:rFonts w:ascii="Times New Roman" w:hAnsi="Times New Roman" w:cs="Times New Roman"/>
          <w:i w:val="0"/>
          <w:iCs w:val="0"/>
          <w:color w:val="2E74B5" w:themeColor="accent5" w:themeShade="BF"/>
          <w:sz w:val="24"/>
          <w:szCs w:val="24"/>
        </w:rPr>
      </w:pPr>
      <w:r w:rsidRPr="00BE3602">
        <w:rPr>
          <w:rFonts w:ascii="Times New Roman" w:hAnsi="Times New Roman" w:cs="Times New Roman"/>
          <w:i w:val="0"/>
          <w:iCs w:val="0"/>
          <w:color w:val="2E74B5" w:themeColor="accent5" w:themeShade="BF"/>
          <w:sz w:val="24"/>
          <w:szCs w:val="24"/>
        </w:rPr>
        <w:t>Nos itens XX, XX e XX não será concedido nesta Licitação tratamento favorecido para microempresas, empresas de pequeno porte e figuras equiparadas, nos termos da Lei Complementar nº 123, de 2006, em razão da incidência, no caso, do art. 4º, § 1º da Lei nº 14.133, de 2021.</w:t>
      </w:r>
    </w:p>
    <w:tbl>
      <w:tblPr>
        <w:tblStyle w:val="Tabelacomgrade"/>
        <w:tblW w:w="0" w:type="auto"/>
        <w:tblInd w:w="792" w:type="dxa"/>
        <w:tblLook w:val="04A0" w:firstRow="1" w:lastRow="0" w:firstColumn="1" w:lastColumn="0" w:noHBand="0" w:noVBand="1"/>
      </w:tblPr>
      <w:tblGrid>
        <w:gridCol w:w="7702"/>
      </w:tblGrid>
      <w:tr w:rsidR="009148D9" w14:paraId="52186644" w14:textId="77777777" w:rsidTr="001E0434">
        <w:tc>
          <w:tcPr>
            <w:tcW w:w="9061" w:type="dxa"/>
            <w:shd w:val="clear" w:color="auto" w:fill="FFFFCC"/>
          </w:tcPr>
          <w:p w14:paraId="55AAEC85"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u w:val="single"/>
                <w:lang w:eastAsia="pt-BR"/>
              </w:rPr>
            </w:pPr>
            <w:r w:rsidRPr="00BE3602">
              <w:rPr>
                <w:rFonts w:ascii="Times New Roman" w:hAnsi="Times New Roman"/>
                <w:b/>
                <w:bCs/>
                <w:color w:val="2E74B5" w:themeColor="accent5" w:themeShade="BF"/>
                <w:kern w:val="0"/>
                <w:sz w:val="24"/>
                <w:szCs w:val="24"/>
                <w:lang w:eastAsia="pt-BR"/>
              </w:rPr>
              <w:t>N</w:t>
            </w:r>
            <w:r w:rsidRPr="00BE3602">
              <w:rPr>
                <w:rFonts w:ascii="Times New Roman" w:hAnsi="Times New Roman"/>
                <w:b/>
                <w:bCs/>
                <w:color w:val="2E74B5" w:themeColor="accent5" w:themeShade="BF"/>
                <w:sz w:val="24"/>
                <w:szCs w:val="24"/>
              </w:rPr>
              <w:t>ota Explicativa 1:</w:t>
            </w:r>
            <w:r w:rsidRPr="00BE3602">
              <w:rPr>
                <w:rFonts w:ascii="Times New Roman" w:hAnsi="Times New Roman"/>
                <w:color w:val="2E74B5" w:themeColor="accent5" w:themeShade="BF"/>
                <w:sz w:val="24"/>
                <w:szCs w:val="24"/>
              </w:rPr>
              <w:t xml:space="preserve"> </w:t>
            </w:r>
            <w:r w:rsidRPr="00BE3602">
              <w:rPr>
                <w:rFonts w:ascii="Times New Roman" w:hAnsi="Times New Roman"/>
                <w:color w:val="2E74B5" w:themeColor="accent5" w:themeShade="BF"/>
                <w:kern w:val="0"/>
                <w:sz w:val="24"/>
                <w:szCs w:val="24"/>
                <w:lang w:eastAsia="pt-BR"/>
              </w:rPr>
              <w:t>Em contratação de itens de valor correspondente a até R$ 80.000,00 deve ser garantida a participação exclusiva de Microempresa e Empresa de Pequeno Porte (ME e EPP), conforme </w:t>
            </w:r>
            <w:hyperlink r:id="rId23" w:anchor="art48" w:tgtFrame="_blank" w:history="1">
              <w:r w:rsidRPr="00BE3602">
                <w:rPr>
                  <w:rFonts w:ascii="Times New Roman" w:hAnsi="Times New Roman"/>
                  <w:color w:val="2E74B5" w:themeColor="accent5" w:themeShade="BF"/>
                  <w:kern w:val="0"/>
                  <w:sz w:val="24"/>
                  <w:szCs w:val="24"/>
                  <w:u w:val="single"/>
                  <w:lang w:eastAsia="pt-BR"/>
                </w:rPr>
                <w:t>artigo 48, inciso I, da Lei Complementar nº 123, de 14 de dezembro de 2006</w:t>
              </w:r>
            </w:hyperlink>
            <w:r w:rsidRPr="00BE3602">
              <w:rPr>
                <w:rFonts w:ascii="Times New Roman" w:hAnsi="Times New Roman"/>
                <w:color w:val="2E74B5" w:themeColor="accent5" w:themeShade="BF"/>
                <w:kern w:val="0"/>
                <w:sz w:val="24"/>
                <w:szCs w:val="24"/>
                <w:lang w:eastAsia="pt-BR"/>
              </w:rPr>
              <w:t>, e </w:t>
            </w:r>
            <w:hyperlink r:id="rId24" w:anchor="art6" w:tgtFrame="_blank" w:history="1">
              <w:r w:rsidRPr="00BE3602">
                <w:rPr>
                  <w:rFonts w:ascii="Times New Roman" w:hAnsi="Times New Roman"/>
                  <w:color w:val="2E74B5" w:themeColor="accent5" w:themeShade="BF"/>
                  <w:kern w:val="0"/>
                  <w:sz w:val="24"/>
                  <w:szCs w:val="24"/>
                  <w:u w:val="single"/>
                  <w:lang w:eastAsia="pt-BR"/>
                </w:rPr>
                <w:t>artigo 6º do Decreto nº 8.538, de 06 de outubro de 2015).</w:t>
              </w:r>
            </w:hyperlink>
          </w:p>
          <w:p w14:paraId="19407F5D"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u w:val="single"/>
                <w:lang w:eastAsia="pt-BR"/>
              </w:rPr>
            </w:pPr>
          </w:p>
          <w:p w14:paraId="5A62CC7B" w14:textId="77777777" w:rsidR="009148D9" w:rsidRPr="00BE3602" w:rsidRDefault="009148D9" w:rsidP="001E0434">
            <w:pPr>
              <w:pStyle w:val="Textodecomentrio"/>
              <w:jc w:val="both"/>
              <w:rPr>
                <w:rFonts w:ascii="Times New Roman" w:hAnsi="Times New Roman" w:cs="Times New Roman"/>
                <w:color w:val="2E74B5" w:themeColor="accent5" w:themeShade="BF"/>
                <w:sz w:val="24"/>
                <w:szCs w:val="24"/>
              </w:rPr>
            </w:pPr>
            <w:r w:rsidRPr="00BE3602">
              <w:rPr>
                <w:rFonts w:ascii="Times New Roman" w:hAnsi="Times New Roman" w:cs="Times New Roman"/>
                <w:b/>
                <w:bCs/>
                <w:color w:val="2E74B5" w:themeColor="accent5" w:themeShade="BF"/>
                <w:sz w:val="24"/>
                <w:szCs w:val="24"/>
              </w:rPr>
              <w:t>Nota Explicativa 2:</w:t>
            </w:r>
            <w:r w:rsidRPr="00BE3602">
              <w:rPr>
                <w:rFonts w:ascii="Times New Roman" w:hAnsi="Times New Roman" w:cs="Times New Roman"/>
                <w:color w:val="2E74B5" w:themeColor="accent5" w:themeShade="BF"/>
                <w:sz w:val="24"/>
                <w:szCs w:val="24"/>
              </w:rPr>
              <w:t xml:space="preserve"> Utilizar esses subitens apenas se houver itens com participação exclusiva de Microempresas e Empresas de Pequeno Porte em razão do valor, </w:t>
            </w:r>
            <w:hyperlink r:id="rId25" w:anchor="art48" w:history="1">
              <w:r w:rsidRPr="00BE3602">
                <w:rPr>
                  <w:rStyle w:val="Hyperlink"/>
                  <w:rFonts w:ascii="Times New Roman" w:hAnsi="Times New Roman"/>
                  <w:color w:val="2E74B5" w:themeColor="accent5" w:themeShade="BF"/>
                  <w:sz w:val="24"/>
                  <w:szCs w:val="24"/>
                </w:rPr>
                <w:t>conforme art. 48 da Lei Complementar nº 123, de 2006.</w:t>
              </w:r>
            </w:hyperlink>
            <w:r w:rsidRPr="00BE3602">
              <w:rPr>
                <w:rFonts w:ascii="Times New Roman" w:hAnsi="Times New Roman" w:cs="Times New Roman"/>
                <w:color w:val="2E74B5" w:themeColor="accent5" w:themeShade="BF"/>
                <w:sz w:val="24"/>
                <w:szCs w:val="24"/>
              </w:rPr>
              <w:t xml:space="preserve"> Nos termos do </w:t>
            </w:r>
            <w:hyperlink r:id="rId26" w:anchor="art4§1" w:history="1">
              <w:r w:rsidRPr="00BE3602">
                <w:rPr>
                  <w:rStyle w:val="Hyperlink"/>
                  <w:rFonts w:ascii="Times New Roman" w:hAnsi="Times New Roman"/>
                  <w:color w:val="2E74B5" w:themeColor="accent5" w:themeShade="BF"/>
                  <w:sz w:val="24"/>
                  <w:szCs w:val="24"/>
                </w:rPr>
                <w:t>art. 4º, §1º, da Lei nº 14.133, de 2021</w:t>
              </w:r>
            </w:hyperlink>
            <w:r w:rsidRPr="00BE3602">
              <w:rPr>
                <w:rFonts w:ascii="Times New Roman" w:hAnsi="Times New Roman" w:cs="Times New Roman"/>
                <w:color w:val="2E74B5" w:themeColor="accent5" w:themeShade="BF"/>
                <w:sz w:val="24"/>
                <w:szCs w:val="24"/>
              </w:rPr>
              <w:t>, não será aplicado esse tratamento diferenciado (I) no caso de licitação para aquisição de bens ou contratação de serviços em geral, ao item cujo valor estimado for superior à receita bruta máxima admitida para fins de enquadramento como empresa de pequeno porte; e (II) no caso de contratação de obras e serviços de engenharia, às licitações cujo valor estimado for superior à receita bruta máxima admitida para fins de enquadramento como empresa de pequeno porte.</w:t>
            </w:r>
          </w:p>
          <w:p w14:paraId="1B4B5F48" w14:textId="77777777" w:rsidR="009148D9" w:rsidRPr="00BE3602" w:rsidRDefault="009148D9" w:rsidP="001E0434">
            <w:pPr>
              <w:spacing w:line="276" w:lineRule="auto"/>
              <w:jc w:val="both"/>
              <w:rPr>
                <w:rFonts w:ascii="Times New Roman" w:hAnsi="Times New Roman"/>
                <w:color w:val="2E74B5" w:themeColor="accent5" w:themeShade="BF"/>
                <w:sz w:val="24"/>
                <w:szCs w:val="24"/>
              </w:rPr>
            </w:pPr>
            <w:r w:rsidRPr="00BE3602">
              <w:rPr>
                <w:rFonts w:ascii="Times New Roman" w:hAnsi="Times New Roman"/>
                <w:color w:val="2E74B5" w:themeColor="accent5" w:themeShade="BF"/>
                <w:sz w:val="24"/>
                <w:szCs w:val="24"/>
              </w:rPr>
              <w:t>Nas contratações com prazo de vigência superior a 1 (um) ano, será considerado o valor anual do contrato na aplicação dos limites acima estabelecidos</w:t>
            </w:r>
          </w:p>
          <w:p w14:paraId="35930368" w14:textId="77777777" w:rsidR="009148D9" w:rsidRPr="00BE3602" w:rsidRDefault="009148D9" w:rsidP="001E0434">
            <w:pPr>
              <w:spacing w:line="276" w:lineRule="auto"/>
              <w:jc w:val="both"/>
              <w:rPr>
                <w:rFonts w:ascii="Times New Roman" w:hAnsi="Times New Roman"/>
                <w:color w:val="2E74B5" w:themeColor="accent5" w:themeShade="BF"/>
                <w:sz w:val="24"/>
                <w:szCs w:val="24"/>
              </w:rPr>
            </w:pPr>
          </w:p>
          <w:p w14:paraId="63F673BD" w14:textId="77777777" w:rsidR="009148D9" w:rsidRPr="00BE3602" w:rsidRDefault="009148D9" w:rsidP="001E0434">
            <w:pPr>
              <w:spacing w:line="276" w:lineRule="auto"/>
              <w:jc w:val="both"/>
              <w:rPr>
                <w:rFonts w:ascii="Times New Roman" w:hAnsi="Times New Roman"/>
                <w:color w:val="2E74B5" w:themeColor="accent5" w:themeShade="BF"/>
                <w:kern w:val="0"/>
                <w:sz w:val="24"/>
                <w:szCs w:val="24"/>
                <w:lang w:eastAsia="pt-BR"/>
              </w:rPr>
            </w:pPr>
            <w:r w:rsidRPr="00BE3602">
              <w:rPr>
                <w:rFonts w:ascii="Times New Roman" w:hAnsi="Times New Roman"/>
                <w:b/>
                <w:bCs/>
                <w:color w:val="2E74B5" w:themeColor="accent5" w:themeShade="BF"/>
                <w:sz w:val="24"/>
                <w:szCs w:val="24"/>
              </w:rPr>
              <w:t>Nota Explicativa 3:</w:t>
            </w:r>
            <w:r w:rsidRPr="00BE3602">
              <w:rPr>
                <w:rFonts w:ascii="Times New Roman" w:hAnsi="Times New Roman"/>
                <w:color w:val="2E74B5" w:themeColor="accent5" w:themeShade="BF"/>
                <w:sz w:val="24"/>
                <w:szCs w:val="24"/>
              </w:rPr>
              <w:t xml:space="preserve"> O subitem deve ser ajustado conforme os itens se enquadrem ou não no limite do art. 4º, §1º da Lei nº 14.133, de 2021 para incidência dos privilégios de Microempresas, Empresas de Pequeno Porte e figuras assemelhadas. Cada item ou lote licitado deve ser enquadrados separadamente, conforme adjudicação respectiva.</w:t>
            </w:r>
          </w:p>
          <w:p w14:paraId="00C2F407" w14:textId="77777777" w:rsidR="009148D9" w:rsidRDefault="009148D9" w:rsidP="001E0434">
            <w:pPr>
              <w:pStyle w:val="PargrafodaLista"/>
              <w:spacing w:line="276" w:lineRule="auto"/>
              <w:ind w:left="0"/>
              <w:jc w:val="both"/>
              <w:rPr>
                <w:rFonts w:ascii="Times New Roman" w:hAnsi="Times New Roman"/>
                <w:kern w:val="0"/>
                <w:sz w:val="24"/>
                <w:szCs w:val="24"/>
                <w:lang w:eastAsia="pt-BR"/>
              </w:rPr>
            </w:pPr>
          </w:p>
        </w:tc>
      </w:tr>
    </w:tbl>
    <w:p w14:paraId="0D18219D" w14:textId="77777777" w:rsidR="009148D9" w:rsidRPr="00B71F94" w:rsidRDefault="009148D9" w:rsidP="009148D9">
      <w:pPr>
        <w:spacing w:line="276" w:lineRule="auto"/>
        <w:jc w:val="both"/>
        <w:rPr>
          <w:rFonts w:ascii="Times New Roman" w:hAnsi="Times New Roman"/>
          <w:kern w:val="0"/>
          <w:sz w:val="24"/>
          <w:szCs w:val="24"/>
          <w:lang w:eastAsia="pt-BR"/>
        </w:rPr>
      </w:pPr>
    </w:p>
    <w:p w14:paraId="71CE39FB" w14:textId="77777777" w:rsidR="009148D9" w:rsidRPr="00D7244D" w:rsidRDefault="009148D9" w:rsidP="009148D9">
      <w:pPr>
        <w:pStyle w:val="PargrafodaLista"/>
        <w:spacing w:line="276" w:lineRule="auto"/>
        <w:ind w:left="360"/>
        <w:jc w:val="both"/>
        <w:rPr>
          <w:rFonts w:ascii="Times New Roman" w:hAnsi="Times New Roman"/>
          <w:kern w:val="0"/>
          <w:sz w:val="24"/>
          <w:szCs w:val="24"/>
          <w:lang w:eastAsia="pt-BR"/>
        </w:rPr>
      </w:pPr>
    </w:p>
    <w:p w14:paraId="0F9349FF" w14:textId="77777777" w:rsidR="009148D9" w:rsidRPr="00253311"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DESCRIÇÃO DOS REQUISITOS DA CONTRATAÇÃO:</w:t>
      </w:r>
    </w:p>
    <w:p w14:paraId="208A8033" w14:textId="77777777" w:rsidR="009148D9" w:rsidRPr="00B71F94"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B71F94">
        <w:rPr>
          <w:rFonts w:ascii="Times New Roman" w:hAnsi="Times New Roman"/>
          <w:kern w:val="0"/>
          <w:sz w:val="24"/>
          <w:szCs w:val="24"/>
          <w:lang w:eastAsia="pt-BR"/>
        </w:rPr>
        <w:t>Descrição dos Requisitos da Contratação - prevendo critérios e práticas de sustentabilidade, observadas as leis ou regulamentações específicas, bem como padrões mínimos de qualidade e desempenho, com base no Art. 23, Inciso II:</w:t>
      </w:r>
    </w:p>
    <w:tbl>
      <w:tblPr>
        <w:tblW w:w="8789"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89"/>
      </w:tblGrid>
      <w:tr w:rsidR="009148D9" w:rsidRPr="00253311" w14:paraId="7570605F" w14:textId="77777777" w:rsidTr="001E0434">
        <w:trPr>
          <w:tblCellSpacing w:w="7" w:type="dxa"/>
          <w:jc w:val="center"/>
        </w:trPr>
        <w:tc>
          <w:tcPr>
            <w:tcW w:w="8761" w:type="dxa"/>
            <w:tcBorders>
              <w:top w:val="outset" w:sz="6" w:space="0" w:color="auto"/>
              <w:bottom w:val="outset" w:sz="6" w:space="0" w:color="auto"/>
            </w:tcBorders>
            <w:shd w:val="clear" w:color="auto" w:fill="FFFFCC"/>
            <w:vAlign w:val="center"/>
            <w:hideMark/>
          </w:tcPr>
          <w:p w14:paraId="7C64DFB8"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lastRenderedPageBreak/>
              <w:t>Nota Explicativa 1:</w:t>
            </w:r>
            <w:r w:rsidRPr="00253311">
              <w:rPr>
                <w:rFonts w:ascii="Times New Roman" w:hAnsi="Times New Roman"/>
                <w:kern w:val="0"/>
                <w:sz w:val="24"/>
                <w:szCs w:val="24"/>
                <w:lang w:eastAsia="pt-BR"/>
              </w:rPr>
              <w:t xml:space="preserve"> Fundamentação conforme o Art. 23, Inciso II do Decreto Nº 21.872/23, “os requisitos da contratação” estabelecidos no Estudo Técnico Preliminar (ETP) são fundamentais para especificar as condições essenciais que o objeto da licitação ou contratação direta deve atender. Os requisitos devem considerar práticas de sustentabilidade conforme legislação pertinente, assegurando que o objeto contratado se alinhe às políticas públicas de desenvolvimento sustentável. Além disso, os requisitos garantem que serão observados padrões mínimos de qualidade e desempenho, assegurando a eficácia da solução escolhida. Embora o ETP apresente os requisitos de forma resumida, focando especialmente em aspectos que possam influenciar diretamente no preço ou na forma de entrega do objeto, é no Termo de Referência (TR) que eles serão detalhados de maneira mais profunda. Este procedimento garante que todas as fases da contratação sejam regidas por informações claras e precisas, promovendo uma aquisição ou serviço que atenda plenamente às necessidades da administração pública.</w:t>
            </w:r>
          </w:p>
          <w:p w14:paraId="44E782B7"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Nota Explicativa 2:</w:t>
            </w:r>
            <w:r w:rsidRPr="00253311">
              <w:rPr>
                <w:rFonts w:ascii="Times New Roman" w:hAnsi="Times New Roman"/>
                <w:kern w:val="0"/>
                <w:sz w:val="24"/>
                <w:szCs w:val="24"/>
                <w:lang w:eastAsia="pt-BR"/>
              </w:rPr>
              <w:t xml:space="preserve"> O texto deve especificar requisitos que seguem práticas de sustentabilidade, em conformidade legal e padrões de qualidade e desempenho. Os critérios são flexíveis e devem ser ajustados conforme as demandas específicas, garantindo a responsabilidade ambiental e a eficácia da contratação.</w:t>
            </w:r>
          </w:p>
          <w:p w14:paraId="008E7D7A"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Nota Explicativa 3</w:t>
            </w:r>
            <w:r w:rsidRPr="00253311">
              <w:rPr>
                <w:rFonts w:ascii="Times New Roman" w:hAnsi="Times New Roman"/>
                <w:kern w:val="0"/>
                <w:sz w:val="24"/>
                <w:szCs w:val="24"/>
                <w:lang w:eastAsia="pt-BR"/>
              </w:rPr>
              <w:t>: Os preceitos do desenvolvimento sustentável devem ser observados na fase preparatória da licitação, em suas dimensões econômica, social, ambiental e cultural, no mínimo, com base nos planos de gestão de logística sustentável dos órgãos e das entidades, conforme prevê o parágrafo único do artigo 11 da Instrução Normativa SEGES/ME nº 73, de 2022.</w:t>
            </w:r>
          </w:p>
        </w:tc>
      </w:tr>
    </w:tbl>
    <w:p w14:paraId="732E1F69"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p>
    <w:p w14:paraId="4B77F11C" w14:textId="77777777" w:rsidR="009148D9" w:rsidRPr="00253311" w:rsidRDefault="009148D9" w:rsidP="00DC07C2">
      <w:pPr>
        <w:pStyle w:val="PargrafodaLista"/>
        <w:numPr>
          <w:ilvl w:val="1"/>
          <w:numId w:val="9"/>
        </w:numPr>
        <w:spacing w:line="276" w:lineRule="auto"/>
        <w:rPr>
          <w:rFonts w:ascii="Times New Roman" w:hAnsi="Times New Roman"/>
          <w:b/>
          <w:bCs/>
          <w:kern w:val="0"/>
          <w:sz w:val="24"/>
          <w:szCs w:val="24"/>
          <w:lang w:eastAsia="pt-BR"/>
        </w:rPr>
      </w:pPr>
      <w:r w:rsidRPr="00253311">
        <w:rPr>
          <w:rFonts w:ascii="Times New Roman" w:hAnsi="Times New Roman"/>
          <w:b/>
          <w:bCs/>
          <w:kern w:val="0"/>
          <w:sz w:val="24"/>
          <w:szCs w:val="24"/>
          <w:lang w:eastAsia="pt-BR"/>
        </w:rPr>
        <w:t>Sustentabilidade:</w:t>
      </w:r>
    </w:p>
    <w:p w14:paraId="5369A3A6"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sugestão de texto:</w:t>
      </w:r>
      <w:r w:rsidRPr="00253311">
        <w:rPr>
          <w:rFonts w:ascii="Times New Roman" w:hAnsi="Times New Roman"/>
          <w:kern w:val="0"/>
          <w:sz w:val="24"/>
          <w:szCs w:val="24"/>
          <w:lang w:eastAsia="pt-BR"/>
        </w:rPr>
        <w:t xml:space="preserve"> </w:t>
      </w:r>
      <w:r w:rsidRPr="00253311">
        <w:rPr>
          <w:rFonts w:ascii="Times New Roman" w:hAnsi="Times New Roman"/>
          <w:i/>
          <w:iCs/>
          <w:kern w:val="0"/>
          <w:sz w:val="24"/>
          <w:szCs w:val="24"/>
          <w:lang w:eastAsia="pt-BR"/>
        </w:rPr>
        <w:t xml:space="preserve">Além dos critérios de sustentabilidade eventualmente inseridos na descrição do objeto, devem ser atendidos os seguintes requisitos, que se baseiam no Guia Nacional de Contratações Sustentáveis ( </w:t>
      </w:r>
      <w:hyperlink r:id="rId27" w:tgtFrame="_blank" w:history="1">
        <w:r w:rsidRPr="00253311">
          <w:rPr>
            <w:rStyle w:val="Hyperlink"/>
            <w:rFonts w:ascii="Times New Roman" w:hAnsi="Times New Roman"/>
            <w:i/>
            <w:iCs/>
            <w:kern w:val="0"/>
            <w:sz w:val="24"/>
            <w:szCs w:val="24"/>
            <w:lang w:eastAsia="pt-BR"/>
          </w:rPr>
          <w:t>Guia Nacional de Contratações Públicas</w:t>
        </w:r>
      </w:hyperlink>
      <w:r w:rsidRPr="00253311">
        <w:rPr>
          <w:rFonts w:ascii="Times New Roman" w:hAnsi="Times New Roman"/>
          <w:i/>
          <w:iCs/>
          <w:kern w:val="0"/>
          <w:sz w:val="24"/>
          <w:szCs w:val="24"/>
          <w:lang w:eastAsia="pt-BR"/>
        </w:rPr>
        <w:t>):</w:t>
      </w:r>
    </w:p>
    <w:p w14:paraId="16B80766"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w:t>
      </w:r>
    </w:p>
    <w:p w14:paraId="2D00A3B4" w14:textId="77777777" w:rsidR="009148D9" w:rsidRPr="00253311" w:rsidRDefault="009148D9" w:rsidP="009148D9">
      <w:pPr>
        <w:pStyle w:val="PargrafodaLista"/>
        <w:spacing w:line="276" w:lineRule="auto"/>
        <w:ind w:left="360"/>
        <w:rPr>
          <w:rFonts w:ascii="Times New Roman" w:hAnsi="Times New Roman"/>
          <w:kern w:val="0"/>
          <w:sz w:val="24"/>
          <w:szCs w:val="24"/>
          <w:lang w:eastAsia="pt-BR"/>
        </w:rPr>
      </w:pPr>
      <w:r w:rsidRPr="00253311">
        <w:rPr>
          <w:rFonts w:ascii="Times New Roman" w:hAnsi="Times New Roman"/>
          <w:i/>
          <w:iCs/>
          <w:kern w:val="0"/>
          <w:sz w:val="24"/>
          <w:szCs w:val="24"/>
          <w:lang w:eastAsia="pt-BR"/>
        </w:rPr>
        <w:t>[...]</w:t>
      </w:r>
    </w:p>
    <w:tbl>
      <w:tblPr>
        <w:tblW w:w="8497"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97"/>
      </w:tblGrid>
      <w:tr w:rsidR="009148D9" w:rsidRPr="00253311" w14:paraId="0E3FED80" w14:textId="77777777" w:rsidTr="001E0434">
        <w:trPr>
          <w:tblCellSpacing w:w="7" w:type="dxa"/>
          <w:jc w:val="center"/>
        </w:trPr>
        <w:tc>
          <w:tcPr>
            <w:tcW w:w="8469" w:type="dxa"/>
            <w:tcBorders>
              <w:top w:val="outset" w:sz="6" w:space="0" w:color="auto"/>
              <w:bottom w:val="outset" w:sz="6" w:space="0" w:color="auto"/>
            </w:tcBorders>
            <w:shd w:val="clear" w:color="auto" w:fill="FFFFCC"/>
            <w:vAlign w:val="center"/>
            <w:hideMark/>
          </w:tcPr>
          <w:p w14:paraId="0C950D74"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b/>
                <w:bCs/>
                <w:kern w:val="0"/>
                <w:sz w:val="24"/>
                <w:szCs w:val="24"/>
                <w:lang w:eastAsia="pt-BR"/>
              </w:rPr>
              <w:t xml:space="preserve">Nota explicativa 4: </w:t>
            </w:r>
            <w:r w:rsidRPr="00253311">
              <w:rPr>
                <w:rFonts w:ascii="Times New Roman" w:hAnsi="Times New Roman"/>
                <w:kern w:val="0"/>
                <w:sz w:val="24"/>
                <w:szCs w:val="24"/>
                <w:lang w:eastAsia="pt-BR"/>
              </w:rPr>
              <w:t>Como preencher os requisitos de sustentabilidade? </w:t>
            </w:r>
          </w:p>
          <w:p w14:paraId="4D31E58B" w14:textId="77777777" w:rsidR="009148D9" w:rsidRPr="00253311" w:rsidRDefault="009148D9" w:rsidP="001E0434">
            <w:pPr>
              <w:spacing w:line="276" w:lineRule="auto"/>
              <w:jc w:val="both"/>
              <w:rPr>
                <w:rFonts w:ascii="Times New Roman" w:hAnsi="Times New Roman"/>
                <w:kern w:val="0"/>
                <w:sz w:val="24"/>
                <w:szCs w:val="24"/>
                <w:lang w:eastAsia="pt-BR"/>
              </w:rPr>
            </w:pPr>
            <w:r w:rsidRPr="00253311">
              <w:rPr>
                <w:rFonts w:ascii="Times New Roman" w:hAnsi="Times New Roman"/>
                <w:kern w:val="0"/>
                <w:sz w:val="24"/>
                <w:szCs w:val="24"/>
                <w:lang w:eastAsia="pt-BR"/>
              </w:rPr>
              <w:t xml:space="preserve">Avaliar a duração inicial do contrato de prestação de </w:t>
            </w:r>
            <w:r>
              <w:rPr>
                <w:rFonts w:ascii="Times New Roman" w:hAnsi="Times New Roman"/>
                <w:kern w:val="0"/>
                <w:sz w:val="24"/>
                <w:szCs w:val="24"/>
                <w:lang w:eastAsia="pt-BR"/>
              </w:rPr>
              <w:t>bens</w:t>
            </w:r>
            <w:r w:rsidRPr="00253311">
              <w:rPr>
                <w:rFonts w:ascii="Times New Roman" w:hAnsi="Times New Roman"/>
                <w:kern w:val="0"/>
                <w:sz w:val="24"/>
                <w:szCs w:val="24"/>
                <w:lang w:eastAsia="pt-BR"/>
              </w:rPr>
              <w:t xml:space="preserve"> de natureza continuada, justificando a decisão; possível necessidade de a contratada promover a transição contratual com transferência de conhecimento, tecnologia e técnicas empregadas, arrolando como sua obrigação; deverá ser feito minucioso quadro identificando as soluções de mercado existentes (produtos, fornecedores, fabricantes, </w:t>
            </w:r>
            <w:proofErr w:type="spellStart"/>
            <w:r w:rsidRPr="00253311">
              <w:rPr>
                <w:rFonts w:ascii="Times New Roman" w:hAnsi="Times New Roman"/>
                <w:kern w:val="0"/>
                <w:sz w:val="24"/>
                <w:szCs w:val="24"/>
                <w:lang w:eastAsia="pt-BR"/>
              </w:rPr>
              <w:t>etc</w:t>
            </w:r>
            <w:proofErr w:type="spellEnd"/>
            <w:r w:rsidRPr="00253311">
              <w:rPr>
                <w:rFonts w:ascii="Times New Roman" w:hAnsi="Times New Roman"/>
                <w:kern w:val="0"/>
                <w:sz w:val="24"/>
                <w:szCs w:val="24"/>
                <w:lang w:eastAsia="pt-BR"/>
              </w:rPr>
              <w:t>) e que possuem aptidão em atender aos requisitos especificados; caso se vislumbre uma quantidade de fornecedores restrita, verificar se a solução pretendida ou os requisitos eleitos são realmente indispensáveis, avaliando se possível a sua retirada ou flexibilização (mas sempre se atentando para que uma especificação não se mostre insuficiente a ponto de conduzir a uma contratação que não atenda às necessidades da Administração);</w:t>
            </w:r>
          </w:p>
        </w:tc>
      </w:tr>
    </w:tbl>
    <w:p w14:paraId="4586FF79" w14:textId="77777777" w:rsidR="009148D9" w:rsidRDefault="009148D9" w:rsidP="009148D9">
      <w:pPr>
        <w:pStyle w:val="PargrafodaLista"/>
        <w:spacing w:line="276" w:lineRule="auto"/>
        <w:ind w:left="792"/>
        <w:rPr>
          <w:rFonts w:ascii="Times New Roman" w:hAnsi="Times New Roman"/>
          <w:b/>
          <w:bCs/>
          <w:kern w:val="0"/>
          <w:sz w:val="24"/>
          <w:szCs w:val="24"/>
          <w:lang w:eastAsia="pt-BR"/>
        </w:rPr>
      </w:pPr>
    </w:p>
    <w:p w14:paraId="670392BB"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DA AMOSTRA</w:t>
      </w:r>
    </w:p>
    <w:p w14:paraId="0F20FE9B" w14:textId="77777777" w:rsidR="009148D9" w:rsidRPr="00E628C9" w:rsidRDefault="009148D9" w:rsidP="00DC07C2">
      <w:pPr>
        <w:numPr>
          <w:ilvl w:val="2"/>
          <w:numId w:val="9"/>
        </w:numPr>
        <w:spacing w:line="276" w:lineRule="auto"/>
        <w:ind w:left="1134"/>
        <w:contextualSpacing/>
        <w:jc w:val="both"/>
        <w:rPr>
          <w:rFonts w:ascii="Times New Roman" w:hAnsi="Times New Roman"/>
          <w:kern w:val="0"/>
          <w:sz w:val="24"/>
          <w:szCs w:val="24"/>
          <w:lang w:eastAsia="pt-BR"/>
        </w:rPr>
      </w:pPr>
      <w:r w:rsidRPr="00E628C9">
        <w:rPr>
          <w:rFonts w:ascii="Times New Roman" w:hAnsi="Times New Roman"/>
          <w:kern w:val="0"/>
          <w:sz w:val="24"/>
          <w:szCs w:val="24"/>
          <w:lang w:eastAsia="pt-BR"/>
        </w:rPr>
        <w:t>A apresentação de amostras tem por finalidade avaliar, mediante a realização de observações e/ou testes, quando for o caso, o produto ofertado quanto a qualidade do mesmo e a correspondência entre a amostra apresentada e a especificação constante do Edital (medidas, quantidades, atendimento da finalidade e outros aspectos), objetivando verificar a compatibilidade entre a especificação técnica e o material cotado.</w:t>
      </w:r>
    </w:p>
    <w:tbl>
      <w:tblPr>
        <w:tblW w:w="916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5"/>
      </w:tblGrid>
      <w:tr w:rsidR="009148D9" w:rsidRPr="00E628C9" w14:paraId="4BADB7B9" w14:textId="77777777" w:rsidTr="001E0434">
        <w:trPr>
          <w:tblCellSpacing w:w="7" w:type="dxa"/>
          <w:jc w:val="center"/>
        </w:trPr>
        <w:tc>
          <w:tcPr>
            <w:tcW w:w="9015" w:type="dxa"/>
            <w:tcBorders>
              <w:top w:val="outset" w:sz="6" w:space="0" w:color="auto"/>
              <w:bottom w:val="outset" w:sz="6" w:space="0" w:color="auto"/>
            </w:tcBorders>
            <w:shd w:val="clear" w:color="auto" w:fill="FFFFCC"/>
            <w:vAlign w:val="center"/>
            <w:hideMark/>
          </w:tcPr>
          <w:p w14:paraId="7FD43EA5"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1: </w:t>
            </w:r>
            <w:r w:rsidRPr="00E628C9">
              <w:rPr>
                <w:rFonts w:ascii="Times New Roman" w:hAnsi="Times New Roman"/>
                <w:kern w:val="0"/>
                <w:sz w:val="24"/>
                <w:szCs w:val="24"/>
                <w:lang w:eastAsia="pt-BR"/>
              </w:rPr>
              <w:t>Será solicitado amostra ao licitante provisoriamente vencedor quando realizada na fase de julgamento das propostas de acordo com Art. 41 da Lei Federal nº 14.133/2021. Art. 41. No caso de licitação que envolva o fornecimento de bens, a Administração poderá excepcionalmente: II - exigir amostra ou prova de conceito do bem no procedimento de pré-qualificação permanente, na fase de julgamento das propostas ou de lances, ou no período de vigência do contrato ou da ata de registro de preços, desde que previsto no edital da licitação e justificada a necessidade de sua apresentação. Parágrafo único. A exigência prevista no inciso II do caput deste artigo restringir-se-á ao licitante provisoriamente vencedor quando realizada na fase de julgamento das propostas ou de lances.</w:t>
            </w:r>
          </w:p>
          <w:p w14:paraId="0C7444F1"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2: </w:t>
            </w:r>
            <w:r w:rsidRPr="00E628C9">
              <w:rPr>
                <w:rFonts w:ascii="Times New Roman" w:hAnsi="Times New Roman"/>
                <w:kern w:val="0"/>
                <w:sz w:val="24"/>
                <w:szCs w:val="24"/>
                <w:lang w:eastAsia="pt-BR"/>
              </w:rPr>
              <w:t>No contexto de contratações diretas, só se poderia cogitar de um procedimento de amostra no caso de dispensa eletrônica, a partir do que for possível pelo sistema respectivo. A Administração deverá avaliar, portanto, no caso de contratações diretas, a pertinência de manter ou não as disposições do TR acerca da oferta de amostras.</w:t>
            </w:r>
          </w:p>
          <w:p w14:paraId="638594E9"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3</w:t>
            </w:r>
            <w:r w:rsidRPr="00E628C9">
              <w:rPr>
                <w:rFonts w:ascii="Times New Roman" w:hAnsi="Times New Roman"/>
                <w:kern w:val="0"/>
                <w:sz w:val="24"/>
                <w:szCs w:val="24"/>
                <w:lang w:eastAsia="pt-BR"/>
              </w:rPr>
              <w:t>:</w:t>
            </w:r>
            <w:r w:rsidRPr="00E628C9">
              <w:rPr>
                <w:rFonts w:ascii="Times New Roman" w:hAnsi="Times New Roman"/>
                <w:b/>
                <w:bCs/>
                <w:kern w:val="0"/>
                <w:sz w:val="24"/>
                <w:szCs w:val="24"/>
                <w:lang w:eastAsia="pt-BR"/>
              </w:rPr>
              <w:t> </w:t>
            </w:r>
            <w:r w:rsidRPr="00E628C9">
              <w:rPr>
                <w:rFonts w:ascii="Times New Roman" w:hAnsi="Times New Roman"/>
                <w:kern w:val="0"/>
                <w:sz w:val="24"/>
                <w:szCs w:val="24"/>
                <w:lang w:eastAsia="pt-BR"/>
              </w:rPr>
              <w:t xml:space="preserve">A possibilidade de exigência de amostra, exame de conformidade e prova de conceito tem previsão no </w:t>
            </w:r>
            <w:hyperlink r:id="rId28" w:tgtFrame="_blank" w:history="1">
              <w:r w:rsidRPr="00E628C9">
                <w:rPr>
                  <w:rFonts w:ascii="Times New Roman" w:hAnsi="Times New Roman"/>
                  <w:color w:val="0000FF"/>
                  <w:kern w:val="0"/>
                  <w:sz w:val="24"/>
                  <w:szCs w:val="24"/>
                  <w:u w:val="single"/>
                  <w:lang w:eastAsia="pt-BR"/>
                </w:rPr>
                <w:t>artigo 17, §3º, artigo 41, inciso II, e artigo 42, §2º, todos da Lei nº 14.133</w:t>
              </w:r>
            </w:hyperlink>
            <w:r w:rsidRPr="00E628C9">
              <w:rPr>
                <w:rFonts w:ascii="Times New Roman" w:hAnsi="Times New Roman"/>
                <w:kern w:val="0"/>
                <w:sz w:val="24"/>
                <w:szCs w:val="24"/>
                <w:lang w:eastAsia="pt-BR"/>
              </w:rPr>
              <w:t xml:space="preserve">, de 2021, e no artigo 29, §1º, da </w:t>
            </w:r>
            <w:hyperlink r:id="rId29" w:tgtFrame="_blank" w:history="1">
              <w:r w:rsidRPr="00E628C9">
                <w:rPr>
                  <w:rFonts w:ascii="Times New Roman" w:hAnsi="Times New Roman"/>
                  <w:color w:val="0000FF"/>
                  <w:kern w:val="0"/>
                  <w:sz w:val="24"/>
                  <w:szCs w:val="24"/>
                  <w:u w:val="single"/>
                  <w:lang w:eastAsia="pt-BR"/>
                </w:rPr>
                <w:t>Instrução Normativa SEGES/ME nº 73, de 2022</w:t>
              </w:r>
            </w:hyperlink>
            <w:r w:rsidRPr="00E628C9">
              <w:rPr>
                <w:rFonts w:ascii="Times New Roman" w:hAnsi="Times New Roman"/>
                <w:kern w:val="0"/>
                <w:sz w:val="24"/>
                <w:szCs w:val="24"/>
                <w:lang w:eastAsia="pt-BR"/>
              </w:rPr>
              <w:t>. A justificativa para a exigência deve constar do ETP, devendo o TR disciplinar a forma como essa etapa ocorrerá, bem como os critérios a serem adotados para a avaliação.</w:t>
            </w:r>
          </w:p>
          <w:p w14:paraId="16AE93CD"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4:</w:t>
            </w:r>
            <w:r w:rsidRPr="00E628C9">
              <w:rPr>
                <w:rFonts w:ascii="Times New Roman" w:hAnsi="Times New Roman"/>
                <w:kern w:val="0"/>
                <w:sz w:val="24"/>
                <w:szCs w:val="24"/>
                <w:lang w:eastAsia="pt-BR"/>
              </w:rPr>
              <w:t> 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 Há itens de baixa qualidade que simplesmente não funcionam como deveriam, embora possuam descrição técnica semelhante à de objetos de boa qualidade. O julgamento pelo menor preço pode atrair o fornecimento de bens de pouca qualidade, devendo a Administração adotar cautelas para não adquirir material imprestável e, mais importante, evitar repetidamente contratar nessas condições.</w:t>
            </w:r>
          </w:p>
          <w:p w14:paraId="4268DB31" w14:textId="77777777" w:rsidR="009148D9" w:rsidRPr="00E628C9" w:rsidRDefault="009148D9" w:rsidP="001E0434">
            <w:pPr>
              <w:spacing w:line="276" w:lineRule="auto"/>
              <w:jc w:val="both"/>
              <w:rPr>
                <w:rFonts w:ascii="Times New Roman" w:hAnsi="Times New Roman"/>
                <w:kern w:val="0"/>
                <w:sz w:val="24"/>
                <w:szCs w:val="24"/>
                <w:lang w:eastAsia="pt-BR"/>
              </w:rPr>
            </w:pPr>
            <w:r w:rsidRPr="00E628C9">
              <w:rPr>
                <w:rFonts w:ascii="Times New Roman" w:hAnsi="Times New Roman"/>
                <w:b/>
                <w:bCs/>
                <w:kern w:val="0"/>
                <w:sz w:val="24"/>
                <w:szCs w:val="24"/>
                <w:lang w:eastAsia="pt-BR"/>
              </w:rPr>
              <w:t>Nota Explicativa 5:</w:t>
            </w:r>
            <w:r w:rsidRPr="00E628C9">
              <w:rPr>
                <w:rFonts w:ascii="Times New Roman" w:hAnsi="Times New Roman"/>
                <w:kern w:val="0"/>
                <w:sz w:val="24"/>
                <w:szCs w:val="24"/>
                <w:lang w:eastAsia="pt-BR"/>
              </w:rPr>
              <w:t xml:space="preserve"> Em razão de seu potencial de restringir a competitividade do certame, a exigência de carta de solidariedade somente se justificará em situações excepcionais e devidamente motivadas.</w:t>
            </w:r>
          </w:p>
        </w:tc>
      </w:tr>
    </w:tbl>
    <w:p w14:paraId="626E14A3"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xml:space="preserve">Havendo o aceite da proposta quanto ao valor, o interessado classificado provisoriamente em primeiro lugar deverá apresentar amostra, que terá data, local e horário de sua realização divulgados por mensagem no sistema, cuja presença </w:t>
      </w:r>
      <w:r w:rsidRPr="00E628C9">
        <w:rPr>
          <w:rFonts w:ascii="Times New Roman" w:hAnsi="Times New Roman"/>
          <w:color w:val="FF0000"/>
          <w:kern w:val="0"/>
          <w:sz w:val="24"/>
          <w:szCs w:val="24"/>
          <w:lang w:eastAsia="pt-BR"/>
        </w:rPr>
        <w:lastRenderedPageBreak/>
        <w:t>será facultada a todos os interessados, incluindo os demais fornecedores interessados.</w:t>
      </w:r>
    </w:p>
    <w:p w14:paraId="341AA8A7"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Serão exigidas amostras dos seguintes itens:</w:t>
      </w:r>
    </w:p>
    <w:p w14:paraId="7DC4D6AC"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w:t>
      </w:r>
    </w:p>
    <w:p w14:paraId="036C73AF"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e</w:t>
      </w:r>
    </w:p>
    <w:p w14:paraId="729EA2F7"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w:t>
      </w:r>
      <w:r w:rsidRPr="00E628C9">
        <w:rPr>
          <w:rFonts w:ascii="Times New Roman" w:hAnsi="Times New Roman"/>
          <w:vanish/>
          <w:color w:val="FF0000"/>
          <w:kern w:val="0"/>
          <w:sz w:val="24"/>
          <w:szCs w:val="24"/>
          <w:lang w:eastAsia="pt-BR"/>
        </w:rPr>
        <w:t> </w:t>
      </w:r>
      <w:r w:rsidRPr="00E628C9">
        <w:rPr>
          <w:rFonts w:ascii="Times New Roman" w:hAnsi="Times New Roman"/>
          <w:color w:val="FF0000"/>
          <w:kern w:val="0"/>
          <w:sz w:val="24"/>
          <w:szCs w:val="24"/>
          <w:lang w:eastAsia="pt-BR"/>
        </w:rPr>
        <w:t>.</w:t>
      </w:r>
    </w:p>
    <w:p w14:paraId="4ADEC5E1"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As amostras poderão ser entregues no endereço [</w:t>
      </w:r>
      <w:r w:rsidRPr="00E628C9">
        <w:rPr>
          <w:rFonts w:ascii="Times New Roman" w:hAnsi="Times New Roman"/>
          <w:b/>
          <w:bCs/>
          <w:color w:val="FF0000"/>
          <w:kern w:val="0"/>
          <w:sz w:val="24"/>
          <w:szCs w:val="24"/>
          <w:lang w:eastAsia="pt-BR"/>
        </w:rPr>
        <w:t>indicar o endereço</w:t>
      </w:r>
      <w:r w:rsidRPr="00E628C9">
        <w:rPr>
          <w:rFonts w:ascii="Times New Roman" w:hAnsi="Times New Roman"/>
          <w:color w:val="FF0000"/>
          <w:kern w:val="0"/>
          <w:sz w:val="24"/>
          <w:szCs w:val="24"/>
          <w:lang w:eastAsia="pt-BR"/>
        </w:rPr>
        <w:t>], no prazo limite de [</w:t>
      </w:r>
      <w:r w:rsidRPr="00E628C9">
        <w:rPr>
          <w:rFonts w:ascii="Times New Roman" w:hAnsi="Times New Roman"/>
          <w:b/>
          <w:bCs/>
          <w:color w:val="FF0000"/>
          <w:kern w:val="0"/>
          <w:sz w:val="24"/>
          <w:szCs w:val="24"/>
          <w:lang w:eastAsia="pt-BR"/>
        </w:rPr>
        <w:t>indicar o prazo</w:t>
      </w:r>
      <w:r w:rsidRPr="00E628C9">
        <w:rPr>
          <w:rFonts w:ascii="Times New Roman" w:hAnsi="Times New Roman"/>
          <w:color w:val="FF0000"/>
          <w:kern w:val="0"/>
          <w:sz w:val="24"/>
          <w:szCs w:val="24"/>
          <w:lang w:eastAsia="pt-BR"/>
        </w:rPr>
        <w:t>], sendo que a empresa assume total responsabilidade pelo envio e por eventual atraso na entrega.</w:t>
      </w:r>
    </w:p>
    <w:p w14:paraId="5F5A3528"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É facultada prorrogação o prazo estabelecido, a partir de solicitação fundamentada no chat pelo interessado, antes de findo o prazo.</w:t>
      </w:r>
    </w:p>
    <w:p w14:paraId="22B6395E"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No caso de não haver entrega da amostra ou ocorrer atraso na entrega, sem justificativa aceita, ou havendo entrega de amostra fora das especificações previstas, a proposta será recusada.</w:t>
      </w:r>
    </w:p>
    <w:p w14:paraId="43C38BF6" w14:textId="77777777" w:rsidR="009148D9" w:rsidRPr="00E628C9" w:rsidRDefault="009148D9" w:rsidP="00DC07C2">
      <w:pPr>
        <w:numPr>
          <w:ilvl w:val="1"/>
          <w:numId w:val="9"/>
        </w:numPr>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Serão avaliados os seguintes aspectos e padrões mínimos de aceitabilidade:</w:t>
      </w:r>
    </w:p>
    <w:p w14:paraId="3FDD3AC7"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Itens (....): ...........;</w:t>
      </w:r>
    </w:p>
    <w:p w14:paraId="2524B90A" w14:textId="77777777" w:rsidR="009148D9" w:rsidRPr="00E628C9" w:rsidRDefault="009148D9" w:rsidP="00DC07C2">
      <w:pPr>
        <w:numPr>
          <w:ilvl w:val="2"/>
          <w:numId w:val="9"/>
        </w:numPr>
        <w:spacing w:line="276" w:lineRule="auto"/>
        <w:ind w:left="1418"/>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Itens (....): ............</w:t>
      </w:r>
    </w:p>
    <w:p w14:paraId="0CDB78D2"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resultados das avaliações serão divulgados por meio de mensagem no sistema.</w:t>
      </w:r>
    </w:p>
    <w:p w14:paraId="5AB6CF01"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Se a(s) amostra(s) apresentada(s) pelo primeiro classificado não for(em) aceita(s), será analisada a aceitabilidade da proposta ou lance ofertado pelo segundo classificado. Seguir-se-á com a verificação da(s) amostra(s) e, assim, sucessivamente, até a verificação de uma que atenda às especificações constantes neste Termo de Referência.</w:t>
      </w:r>
    </w:p>
    <w:p w14:paraId="3230347A" w14:textId="77777777" w:rsidR="009148D9" w:rsidRPr="00E628C9"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exemplares colocados à disposição da Administração serão tratados como protótipos, podendo ser manuseados e desmontados pela equipe técnica responsável pela análise, não gerando direito a ressarcimento.</w:t>
      </w:r>
    </w:p>
    <w:p w14:paraId="7E5A015C" w14:textId="77777777" w:rsidR="009148D9" w:rsidRPr="00E628C9" w:rsidRDefault="009148D9" w:rsidP="00DC07C2">
      <w:pPr>
        <w:numPr>
          <w:ilvl w:val="1"/>
          <w:numId w:val="9"/>
        </w:numPr>
        <w:tabs>
          <w:tab w:val="left" w:pos="851"/>
        </w:tabs>
        <w:spacing w:line="276" w:lineRule="auto"/>
        <w:ind w:left="709" w:hanging="349"/>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 xml:space="preserve">Após a divulgação do resultado final do certame, as amostras entregues deverão ser recolhidas pelos fornecedores no prazo de </w:t>
      </w:r>
      <w:r w:rsidRPr="00E628C9">
        <w:rPr>
          <w:rFonts w:ascii="Times New Roman" w:hAnsi="Times New Roman"/>
          <w:b/>
          <w:bCs/>
          <w:color w:val="FF0000"/>
          <w:kern w:val="0"/>
          <w:sz w:val="24"/>
          <w:szCs w:val="24"/>
          <w:lang w:eastAsia="pt-BR"/>
        </w:rPr>
        <w:t>XX</w:t>
      </w:r>
      <w:r w:rsidRPr="00E628C9">
        <w:rPr>
          <w:rFonts w:ascii="Times New Roman" w:hAnsi="Times New Roman"/>
          <w:color w:val="FF0000"/>
          <w:kern w:val="0"/>
          <w:sz w:val="24"/>
          <w:szCs w:val="24"/>
          <w:lang w:eastAsia="pt-BR"/>
        </w:rPr>
        <w:t xml:space="preserve"> (</w:t>
      </w:r>
      <w:proofErr w:type="spellStart"/>
      <w:r w:rsidRPr="00E628C9">
        <w:rPr>
          <w:rFonts w:ascii="Times New Roman" w:hAnsi="Times New Roman"/>
          <w:b/>
          <w:bCs/>
          <w:color w:val="FF0000"/>
          <w:kern w:val="0"/>
          <w:sz w:val="24"/>
          <w:szCs w:val="24"/>
          <w:lang w:eastAsia="pt-BR"/>
        </w:rPr>
        <w:t>xxxxx</w:t>
      </w:r>
      <w:proofErr w:type="spellEnd"/>
      <w:r w:rsidRPr="00E628C9">
        <w:rPr>
          <w:rFonts w:ascii="Times New Roman" w:hAnsi="Times New Roman"/>
          <w:color w:val="FF0000"/>
          <w:kern w:val="0"/>
          <w:sz w:val="24"/>
          <w:szCs w:val="24"/>
          <w:lang w:eastAsia="pt-BR"/>
        </w:rPr>
        <w:t>) dias, após o qual poderão ser descartadas pela Administração, sem direito a ressarcimento.</w:t>
      </w:r>
    </w:p>
    <w:p w14:paraId="5DF32CD7" w14:textId="77777777" w:rsidR="009148D9" w:rsidRPr="00B71F94" w:rsidRDefault="009148D9" w:rsidP="00DC07C2">
      <w:pPr>
        <w:numPr>
          <w:ilvl w:val="1"/>
          <w:numId w:val="9"/>
        </w:numPr>
        <w:tabs>
          <w:tab w:val="left" w:pos="851"/>
        </w:tabs>
        <w:spacing w:line="276" w:lineRule="auto"/>
        <w:contextualSpacing/>
        <w:jc w:val="both"/>
        <w:rPr>
          <w:rFonts w:ascii="Times New Roman" w:hAnsi="Times New Roman"/>
          <w:kern w:val="0"/>
          <w:sz w:val="24"/>
          <w:szCs w:val="24"/>
          <w:lang w:eastAsia="pt-BR"/>
        </w:rPr>
      </w:pPr>
      <w:r w:rsidRPr="00E628C9">
        <w:rPr>
          <w:rFonts w:ascii="Times New Roman" w:hAnsi="Times New Roman"/>
          <w:color w:val="FF0000"/>
          <w:kern w:val="0"/>
          <w:sz w:val="24"/>
          <w:szCs w:val="24"/>
          <w:lang w:eastAsia="pt-BR"/>
        </w:rPr>
        <w:t>Os interessados deverão colocar à disposição da Administração todas as condições indispensáveis à realização de testes e fornecer, sem ônus, os manuais impressos em língua portuguesa, necessários ao seu perfeito manuseio, quando for o caso.</w:t>
      </w:r>
    </w:p>
    <w:p w14:paraId="550C2F36" w14:textId="77777777" w:rsidR="009148D9" w:rsidRPr="00E628C9" w:rsidRDefault="009148D9" w:rsidP="009148D9">
      <w:pPr>
        <w:tabs>
          <w:tab w:val="left" w:pos="851"/>
        </w:tabs>
        <w:spacing w:line="276" w:lineRule="auto"/>
        <w:ind w:left="792"/>
        <w:contextualSpacing/>
        <w:jc w:val="both"/>
        <w:rPr>
          <w:rFonts w:ascii="Times New Roman" w:hAnsi="Times New Roman"/>
          <w:kern w:val="0"/>
          <w:sz w:val="24"/>
          <w:szCs w:val="24"/>
          <w:lang w:eastAsia="pt-BR"/>
        </w:rPr>
      </w:pPr>
    </w:p>
    <w:p w14:paraId="4F7C152A" w14:textId="77777777" w:rsidR="009148D9" w:rsidRPr="00441B8F"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DAS EXIGÊNCIAS DE HABILITAÇÃO:</w:t>
      </w:r>
    </w:p>
    <w:p w14:paraId="6644D156" w14:textId="77777777" w:rsidR="009148D9" w:rsidRPr="00441B8F"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HABILITAÇÃO JURÍDICA</w:t>
      </w:r>
    </w:p>
    <w:p w14:paraId="791FAB5A"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F6376C">
        <w:rPr>
          <w:rFonts w:ascii="Times New Roman" w:hAnsi="Times New Roman"/>
          <w:kern w:val="0"/>
          <w:sz w:val="24"/>
          <w:szCs w:val="24"/>
          <w:lang w:eastAsia="pt-BR"/>
        </w:rPr>
        <w:t>As exigências de Habilitação jurídica já se encontram previstas na Parte Geral da minuta-padrão do Edital da Procuradoria Geral do Estado do Piauí - PGE.</w:t>
      </w:r>
    </w:p>
    <w:p w14:paraId="4EFD971A"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color w:val="FF0000"/>
          <w:kern w:val="0"/>
          <w:sz w:val="24"/>
          <w:szCs w:val="24"/>
          <w:lang w:eastAsia="pt-BR"/>
        </w:rPr>
        <w:lastRenderedPageBreak/>
        <w:t>No caso de exercício de atividade de (...): ato de registro ou autorização para funcionamento expedido pelo (órgão competente), nos termos do artigo (...) da (o) (...Lei/Decreto...) n° (...)/(...).</w:t>
      </w:r>
    </w:p>
    <w:p w14:paraId="719AA093"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color w:val="FF0000"/>
          <w:kern w:val="0"/>
          <w:sz w:val="24"/>
          <w:szCs w:val="24"/>
          <w:lang w:eastAsia="pt-BR"/>
        </w:rPr>
        <w:t>Serão exigidos os seguintes documentos adicionais:</w:t>
      </w:r>
    </w:p>
    <w:p w14:paraId="540F2954" w14:textId="77777777" w:rsidR="009148D9" w:rsidRPr="00220682" w:rsidRDefault="009148D9" w:rsidP="00DC07C2">
      <w:pPr>
        <w:numPr>
          <w:ilvl w:val="0"/>
          <w:numId w:val="1"/>
        </w:numPr>
        <w:spacing w:line="276" w:lineRule="auto"/>
        <w:ind w:left="1843"/>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 (...);</w:t>
      </w:r>
    </w:p>
    <w:p w14:paraId="64B15427" w14:textId="77777777" w:rsidR="009148D9" w:rsidRPr="00220682" w:rsidRDefault="009148D9" w:rsidP="00DC07C2">
      <w:pPr>
        <w:numPr>
          <w:ilvl w:val="0"/>
          <w:numId w:val="1"/>
        </w:numPr>
        <w:spacing w:line="276" w:lineRule="auto"/>
        <w:ind w:left="1843"/>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II (...);</w:t>
      </w:r>
    </w:p>
    <w:tbl>
      <w:tblPr>
        <w:tblW w:w="906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9148D9" w:rsidRPr="00220682" w14:paraId="62932212" w14:textId="77777777" w:rsidTr="001E0434">
        <w:trPr>
          <w:trHeight w:val="1906"/>
          <w:tblCellSpacing w:w="7" w:type="dxa"/>
          <w:jc w:val="center"/>
        </w:trPr>
        <w:tc>
          <w:tcPr>
            <w:tcW w:w="9036" w:type="dxa"/>
            <w:tcBorders>
              <w:top w:val="outset" w:sz="6" w:space="0" w:color="auto"/>
              <w:bottom w:val="outset" w:sz="6" w:space="0" w:color="auto"/>
            </w:tcBorders>
            <w:shd w:val="clear" w:color="auto" w:fill="FFFFCC"/>
            <w:vAlign w:val="center"/>
            <w:hideMark/>
          </w:tcPr>
          <w:p w14:paraId="01F657CE" w14:textId="77777777" w:rsidR="009148D9" w:rsidRPr="00220682" w:rsidRDefault="009148D9" w:rsidP="001E0434">
            <w:pPr>
              <w:spacing w:line="276" w:lineRule="auto"/>
              <w:ind w:right="99"/>
              <w:jc w:val="both"/>
              <w:rPr>
                <w:rFonts w:ascii="Times New Roman" w:hAnsi="Times New Roman"/>
                <w:kern w:val="0"/>
                <w:sz w:val="24"/>
                <w:szCs w:val="24"/>
                <w:lang w:eastAsia="pt-BR"/>
              </w:rPr>
            </w:pPr>
            <w:bookmarkStart w:id="6" w:name="_Hlk188616192"/>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xml:space="preserve"> Tal exigência tem como fundamento a parte final do disposto no </w:t>
            </w:r>
            <w:hyperlink r:id="rId30" w:anchor="art66" w:tgtFrame="_blank" w:history="1">
              <w:r w:rsidRPr="00220682">
                <w:rPr>
                  <w:rFonts w:ascii="Times New Roman" w:hAnsi="Times New Roman"/>
                  <w:color w:val="0000FF"/>
                  <w:kern w:val="0"/>
                  <w:sz w:val="24"/>
                  <w:szCs w:val="24"/>
                  <w:u w:val="single"/>
                  <w:lang w:eastAsia="pt-BR"/>
                </w:rPr>
                <w:t>art. 66 da Lei nº 14.133, de 2021</w:t>
              </w:r>
            </w:hyperlink>
            <w:r w:rsidRPr="00220682">
              <w:rPr>
                <w:rFonts w:ascii="Times New Roman" w:hAnsi="Times New Roman"/>
                <w:kern w:val="0"/>
                <w:sz w:val="24"/>
                <w:szCs w:val="24"/>
                <w:lang w:eastAsia="pt-BR"/>
              </w:rPr>
              <w:t>. Cabe ao órgão ou entidade analisar se a atividade relativa ao objeto a ser contratado exige registro ou autorização para funcionamento, em razão de previsão legal ou normativa. Em caso positivo, deverão ser especificados o documento a ser apresentado, o órgão competente para expedi-lo e o respectivo fundamento legal. Cite-se, como exemplo, a necessidade de registro de pessoas físicas ou jurídicas no Exército, com vistas ao exercício de qualquer atividade relativa a Produto Controlado pelo Exército (PCE), tais como a fabricação, o comércio, a importação, a exportação, a utilização e a prestação de serviços envolvendo arma de fogo, explosivo, munição, dentre outros.</w:t>
            </w:r>
          </w:p>
        </w:tc>
      </w:tr>
    </w:tbl>
    <w:bookmarkEnd w:id="6"/>
    <w:p w14:paraId="418EFB23" w14:textId="77777777" w:rsidR="009148D9" w:rsidRPr="00441B8F"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QUALIFICAÇÃO TÉCNICA:</w:t>
      </w:r>
    </w:p>
    <w:p w14:paraId="25453C17" w14:textId="77777777" w:rsidR="009148D9" w:rsidRPr="00B71F94"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F6376C">
        <w:rPr>
          <w:rFonts w:ascii="Times New Roman" w:hAnsi="Times New Roman"/>
          <w:b/>
          <w:bCs/>
          <w:kern w:val="0"/>
          <w:sz w:val="24"/>
          <w:szCs w:val="24"/>
          <w:lang w:eastAsia="pt-BR"/>
        </w:rPr>
        <w:t>Requisitos de capacidade técnico-operacional: </w:t>
      </w:r>
    </w:p>
    <w:p w14:paraId="6C1F180B" w14:textId="77777777" w:rsidR="009148D9" w:rsidRPr="00B71F94"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exigida documentação quanto à capacidade técnico operacional.</w:t>
      </w:r>
    </w:p>
    <w:p w14:paraId="7FEA4817"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59DCA259" w14:textId="77777777" w:rsidR="009148D9" w:rsidRPr="00F6376C"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F6376C">
        <w:rPr>
          <w:rFonts w:ascii="Times New Roman" w:hAnsi="Times New Roman"/>
          <w:kern w:val="0"/>
          <w:sz w:val="24"/>
          <w:szCs w:val="24"/>
          <w:lang w:eastAsia="pt-BR"/>
        </w:rPr>
        <w:t xml:space="preserve">Comprovação de aptidão para execução de </w:t>
      </w:r>
      <w:r>
        <w:rPr>
          <w:rFonts w:ascii="Times New Roman" w:hAnsi="Times New Roman"/>
          <w:color w:val="2E74B5" w:themeColor="accent5" w:themeShade="BF"/>
          <w:kern w:val="0"/>
          <w:sz w:val="24"/>
          <w:szCs w:val="24"/>
          <w:lang w:eastAsia="pt-BR"/>
        </w:rPr>
        <w:t xml:space="preserve">fornecimento de bem com </w:t>
      </w:r>
      <w:r w:rsidRPr="00F6376C">
        <w:rPr>
          <w:rFonts w:ascii="Times New Roman" w:hAnsi="Times New Roman"/>
          <w:kern w:val="0"/>
          <w:sz w:val="24"/>
          <w:szCs w:val="24"/>
          <w:lang w:eastAsia="pt-BR"/>
        </w:rPr>
        <w:t>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 Para fins da comprovação de que trata este subitem, os atestados deverão dizer respeito a contratos executados com as seguintes características mínimas:</w:t>
      </w:r>
    </w:p>
    <w:p w14:paraId="004D2440" w14:textId="77777777" w:rsidR="009148D9" w:rsidRPr="00220682" w:rsidRDefault="009148D9" w:rsidP="00DC07C2">
      <w:pPr>
        <w:numPr>
          <w:ilvl w:val="0"/>
          <w:numId w:val="2"/>
        </w:numPr>
        <w:spacing w:line="276" w:lineRule="auto"/>
        <w:ind w:left="1920"/>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Para a demonstração da capacidade técnico-operacional da licitante, será considerada satisfatória a comprovação da execução de no mínimo </w:t>
      </w:r>
      <w:proofErr w:type="spellStart"/>
      <w:r w:rsidRPr="004A7ACF">
        <w:rPr>
          <w:rFonts w:ascii="Times New Roman" w:hAnsi="Times New Roman"/>
          <w:color w:val="FF0000"/>
          <w:kern w:val="0"/>
          <w:sz w:val="24"/>
          <w:szCs w:val="24"/>
          <w:lang w:eastAsia="pt-BR"/>
        </w:rPr>
        <w:t>xxx</w:t>
      </w:r>
      <w:proofErr w:type="spellEnd"/>
      <w:r>
        <w:rPr>
          <w:rFonts w:ascii="Times New Roman" w:hAnsi="Times New Roman"/>
          <w:color w:val="FF0000"/>
          <w:kern w:val="0"/>
          <w:sz w:val="24"/>
          <w:szCs w:val="24"/>
          <w:lang w:eastAsia="pt-BR"/>
        </w:rPr>
        <w:t xml:space="preserve"> </w:t>
      </w:r>
      <w:r w:rsidRPr="004A7ACF">
        <w:rPr>
          <w:rFonts w:ascii="Times New Roman" w:hAnsi="Times New Roman"/>
          <w:color w:val="FF0000"/>
          <w:kern w:val="0"/>
          <w:sz w:val="24"/>
          <w:szCs w:val="24"/>
          <w:lang w:eastAsia="pt-BR"/>
        </w:rPr>
        <w:t>(</w:t>
      </w:r>
      <w:proofErr w:type="spellStart"/>
      <w:r w:rsidRPr="004A7ACF">
        <w:rPr>
          <w:rFonts w:ascii="Times New Roman" w:hAnsi="Times New Roman"/>
          <w:color w:val="FF0000"/>
          <w:kern w:val="0"/>
          <w:sz w:val="24"/>
          <w:szCs w:val="24"/>
          <w:lang w:eastAsia="pt-BR"/>
        </w:rPr>
        <w:t>xx</w:t>
      </w:r>
      <w:proofErr w:type="spellEnd"/>
      <w:r w:rsidRPr="004A7ACF">
        <w:rPr>
          <w:rFonts w:ascii="Times New Roman" w:hAnsi="Times New Roman"/>
          <w:color w:val="FF0000"/>
          <w:kern w:val="0"/>
          <w:sz w:val="24"/>
          <w:szCs w:val="24"/>
          <w:lang w:eastAsia="pt-BR"/>
        </w:rPr>
        <w:t xml:space="preserve">%) </w:t>
      </w:r>
      <w:r w:rsidRPr="00220682">
        <w:rPr>
          <w:rFonts w:ascii="Times New Roman" w:hAnsi="Times New Roman"/>
          <w:kern w:val="0"/>
          <w:sz w:val="24"/>
          <w:szCs w:val="24"/>
          <w:lang w:eastAsia="pt-BR"/>
        </w:rPr>
        <w:t>dos quantitativos previstos no Termo de Referência.</w:t>
      </w:r>
    </w:p>
    <w:p w14:paraId="2A745EA7" w14:textId="77777777" w:rsidR="009148D9" w:rsidRPr="00220682" w:rsidRDefault="009148D9" w:rsidP="009148D9">
      <w:pPr>
        <w:spacing w:line="276" w:lineRule="auto"/>
        <w:ind w:right="-285"/>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4D5FF75F" w14:textId="77777777" w:rsidR="009148D9" w:rsidRDefault="009148D9" w:rsidP="00DC07C2">
      <w:pPr>
        <w:numPr>
          <w:ilvl w:val="0"/>
          <w:numId w:val="3"/>
        </w:numPr>
        <w:spacing w:line="276" w:lineRule="auto"/>
        <w:ind w:left="1920"/>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Será exigida comprovação pela proponente de ter executado, em nome da empresa, a qualquer tempo, </w:t>
      </w:r>
      <w:r>
        <w:rPr>
          <w:rFonts w:ascii="Times New Roman" w:hAnsi="Times New Roman"/>
          <w:color w:val="2E74B5" w:themeColor="accent5" w:themeShade="BF"/>
          <w:kern w:val="0"/>
          <w:sz w:val="24"/>
          <w:szCs w:val="24"/>
          <w:lang w:eastAsia="pt-BR"/>
        </w:rPr>
        <w:t>fornecimento de bem</w:t>
      </w:r>
      <w:r w:rsidRPr="00220682">
        <w:rPr>
          <w:rFonts w:ascii="Times New Roman" w:hAnsi="Times New Roman"/>
          <w:kern w:val="0"/>
          <w:sz w:val="24"/>
          <w:szCs w:val="24"/>
          <w:lang w:eastAsia="pt-BR"/>
        </w:rPr>
        <w:t xml:space="preserve"> compatíveis com o objeto desta licitação, através de certidão(</w:t>
      </w:r>
      <w:proofErr w:type="spellStart"/>
      <w:r w:rsidRPr="00220682">
        <w:rPr>
          <w:rFonts w:ascii="Times New Roman" w:hAnsi="Times New Roman"/>
          <w:kern w:val="0"/>
          <w:sz w:val="24"/>
          <w:szCs w:val="24"/>
          <w:lang w:eastAsia="pt-BR"/>
        </w:rPr>
        <w:t>ões</w:t>
      </w:r>
      <w:proofErr w:type="spellEnd"/>
      <w:r w:rsidRPr="00220682">
        <w:rPr>
          <w:rFonts w:ascii="Times New Roman" w:hAnsi="Times New Roman"/>
          <w:kern w:val="0"/>
          <w:sz w:val="24"/>
          <w:szCs w:val="24"/>
          <w:lang w:eastAsia="pt-BR"/>
        </w:rPr>
        <w:t xml:space="preserve">) e/ou atestado(s), em nome da própria licitante (empresa), fornecido(s) por pessoas jurídicas de direito público ou privado. Os itens de </w:t>
      </w:r>
      <w:r>
        <w:rPr>
          <w:rFonts w:ascii="Times New Roman" w:hAnsi="Times New Roman"/>
          <w:color w:val="2E74B5" w:themeColor="accent5" w:themeShade="BF"/>
          <w:kern w:val="0"/>
          <w:sz w:val="24"/>
          <w:szCs w:val="24"/>
          <w:lang w:eastAsia="pt-BR"/>
        </w:rPr>
        <w:t>fornecimento de bem</w:t>
      </w:r>
      <w:r w:rsidRPr="00220682">
        <w:rPr>
          <w:rFonts w:ascii="Times New Roman" w:hAnsi="Times New Roman"/>
          <w:kern w:val="0"/>
          <w:sz w:val="24"/>
          <w:szCs w:val="24"/>
          <w:lang w:eastAsia="pt-BR"/>
        </w:rPr>
        <w:t xml:space="preserve"> e parcelas de maior relevância com quantidades mínimas a serem comprovadas no percentual de </w:t>
      </w:r>
      <w:r>
        <w:rPr>
          <w:rFonts w:ascii="Times New Roman" w:hAnsi="Times New Roman"/>
          <w:b/>
          <w:bCs/>
          <w:color w:val="FF0000"/>
          <w:kern w:val="0"/>
          <w:sz w:val="24"/>
          <w:szCs w:val="24"/>
          <w:lang w:eastAsia="pt-BR"/>
        </w:rPr>
        <w:t xml:space="preserve">[indicar </w:t>
      </w:r>
      <w:r>
        <w:rPr>
          <w:rFonts w:ascii="Times New Roman" w:hAnsi="Times New Roman"/>
          <w:b/>
          <w:bCs/>
          <w:color w:val="FF0000"/>
          <w:kern w:val="0"/>
          <w:sz w:val="24"/>
          <w:szCs w:val="24"/>
          <w:lang w:eastAsia="pt-BR"/>
        </w:rPr>
        <w:lastRenderedPageBreak/>
        <w:t>porcentagem]</w:t>
      </w:r>
      <w:r w:rsidRPr="00220682">
        <w:rPr>
          <w:rFonts w:ascii="Times New Roman" w:hAnsi="Times New Roman"/>
          <w:b/>
          <w:bCs/>
          <w:color w:val="FF0000"/>
          <w:kern w:val="0"/>
          <w:sz w:val="24"/>
          <w:szCs w:val="24"/>
          <w:lang w:eastAsia="pt-BR"/>
        </w:rPr>
        <w:t xml:space="preserve"> % (</w:t>
      </w:r>
      <w:r>
        <w:rPr>
          <w:rFonts w:ascii="Times New Roman" w:hAnsi="Times New Roman"/>
          <w:b/>
          <w:bCs/>
          <w:color w:val="FF0000"/>
          <w:kern w:val="0"/>
          <w:sz w:val="24"/>
          <w:szCs w:val="24"/>
          <w:lang w:eastAsia="pt-BR"/>
        </w:rPr>
        <w:t>[indicar porcentagem por extenso]</w:t>
      </w:r>
      <w:r w:rsidRPr="00220682">
        <w:rPr>
          <w:rFonts w:ascii="Times New Roman" w:hAnsi="Times New Roman"/>
          <w:b/>
          <w:bCs/>
          <w:color w:val="FF0000"/>
          <w:kern w:val="0"/>
          <w:sz w:val="24"/>
          <w:szCs w:val="24"/>
          <w:lang w:eastAsia="pt-BR"/>
        </w:rPr>
        <w:t xml:space="preserve"> por cento) </w:t>
      </w:r>
      <w:r w:rsidRPr="00220682">
        <w:rPr>
          <w:rFonts w:ascii="Times New Roman" w:hAnsi="Times New Roman"/>
          <w:kern w:val="0"/>
          <w:sz w:val="24"/>
          <w:szCs w:val="24"/>
          <w:lang w:eastAsia="pt-BR"/>
        </w:rPr>
        <w:t>dos quantitativos previstos nos itens.</w:t>
      </w:r>
    </w:p>
    <w:p w14:paraId="75A1E368" w14:textId="77777777" w:rsidR="009148D9" w:rsidRPr="00220682" w:rsidRDefault="009148D9" w:rsidP="009148D9">
      <w:pPr>
        <w:spacing w:after="120" w:line="276" w:lineRule="auto"/>
        <w:ind w:left="1920"/>
        <w:jc w:val="both"/>
        <w:rPr>
          <w:rFonts w:ascii="Times New Roman" w:hAnsi="Times New Roman"/>
          <w:kern w:val="0"/>
          <w:sz w:val="24"/>
          <w:szCs w:val="24"/>
          <w:lang w:eastAsia="pt-BR"/>
        </w:rPr>
      </w:pPr>
    </w:p>
    <w:tbl>
      <w:tblPr>
        <w:tblW w:w="8274" w:type="dxa"/>
        <w:tblCellSpacing w:w="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8"/>
        <w:gridCol w:w="2552"/>
        <w:gridCol w:w="2604"/>
      </w:tblGrid>
      <w:tr w:rsidR="009148D9" w:rsidRPr="00220682" w14:paraId="389C9925" w14:textId="77777777" w:rsidTr="001E0434">
        <w:trPr>
          <w:tblCellSpacing w:w="7" w:type="dxa"/>
        </w:trPr>
        <w:tc>
          <w:tcPr>
            <w:tcW w:w="3097" w:type="dxa"/>
            <w:vAlign w:val="center"/>
            <w:hideMark/>
          </w:tcPr>
          <w:p w14:paraId="5E9DFC33" w14:textId="77777777" w:rsidR="009148D9" w:rsidRPr="00220682" w:rsidRDefault="009148D9" w:rsidP="001E0434">
            <w:pPr>
              <w:jc w:val="center"/>
              <w:rPr>
                <w:rFonts w:ascii="Times New Roman" w:hAnsi="Times New Roman"/>
                <w:kern w:val="0"/>
                <w:sz w:val="24"/>
                <w:szCs w:val="24"/>
                <w:lang w:eastAsia="pt-BR"/>
              </w:rPr>
            </w:pPr>
            <w:r w:rsidRPr="003D7075">
              <w:rPr>
                <w:rFonts w:ascii="Times New Roman" w:hAnsi="Times New Roman"/>
                <w:b/>
                <w:bCs/>
                <w:kern w:val="0"/>
                <w:sz w:val="24"/>
                <w:szCs w:val="24"/>
                <w:lang w:eastAsia="pt-BR"/>
              </w:rPr>
              <w:t>PARCELAS DE MAIOR RELEVÂNCIA E/OU VALOR SIGNIFICATIVO</w:t>
            </w:r>
          </w:p>
        </w:tc>
        <w:tc>
          <w:tcPr>
            <w:tcW w:w="2538" w:type="dxa"/>
            <w:vAlign w:val="center"/>
            <w:hideMark/>
          </w:tcPr>
          <w:p w14:paraId="6DE10E43"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QUANTITATIVO TOTAL (100%)</w:t>
            </w:r>
          </w:p>
        </w:tc>
        <w:tc>
          <w:tcPr>
            <w:tcW w:w="2583" w:type="dxa"/>
            <w:vAlign w:val="center"/>
            <w:hideMark/>
          </w:tcPr>
          <w:p w14:paraId="6DED0318"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COMPROVAÇÃO MÍNIMA (XXX%)</w:t>
            </w:r>
          </w:p>
        </w:tc>
      </w:tr>
      <w:tr w:rsidR="009148D9" w:rsidRPr="00220682" w14:paraId="1AD47266" w14:textId="77777777" w:rsidTr="001E0434">
        <w:trPr>
          <w:tblCellSpacing w:w="7" w:type="dxa"/>
        </w:trPr>
        <w:tc>
          <w:tcPr>
            <w:tcW w:w="3097" w:type="dxa"/>
            <w:vAlign w:val="center"/>
            <w:hideMark/>
          </w:tcPr>
          <w:p w14:paraId="6AABE9CB"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60350A47"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6DD83775"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r w:rsidR="009148D9" w:rsidRPr="00220682" w14:paraId="56CF523A" w14:textId="77777777" w:rsidTr="001E0434">
        <w:trPr>
          <w:tblCellSpacing w:w="7" w:type="dxa"/>
        </w:trPr>
        <w:tc>
          <w:tcPr>
            <w:tcW w:w="3097" w:type="dxa"/>
            <w:vAlign w:val="center"/>
            <w:hideMark/>
          </w:tcPr>
          <w:p w14:paraId="6335864C"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176E0A3F"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738BD74B"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r w:rsidR="009148D9" w:rsidRPr="00220682" w14:paraId="55EBF5F5" w14:textId="77777777" w:rsidTr="001E0434">
        <w:trPr>
          <w:tblCellSpacing w:w="7" w:type="dxa"/>
        </w:trPr>
        <w:tc>
          <w:tcPr>
            <w:tcW w:w="3097" w:type="dxa"/>
            <w:vAlign w:val="center"/>
            <w:hideMark/>
          </w:tcPr>
          <w:p w14:paraId="6A92702E"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 xml:space="preserve">[Indicar a parcela </w:t>
            </w:r>
            <w:r w:rsidRPr="00D007BA">
              <w:rPr>
                <w:rFonts w:ascii="Times New Roman" w:hAnsi="Times New Roman"/>
                <w:color w:val="2E74B5" w:themeColor="accent5" w:themeShade="BF"/>
                <w:kern w:val="0"/>
                <w:sz w:val="24"/>
                <w:szCs w:val="24"/>
                <w:lang w:eastAsia="pt-BR"/>
              </w:rPr>
              <w:t>do bem</w:t>
            </w:r>
            <w:r w:rsidRPr="00220682">
              <w:rPr>
                <w:rFonts w:ascii="Times New Roman" w:hAnsi="Times New Roman"/>
                <w:color w:val="FF0000"/>
                <w:kern w:val="0"/>
                <w:sz w:val="24"/>
                <w:szCs w:val="24"/>
                <w:lang w:eastAsia="pt-BR"/>
              </w:rPr>
              <w:t>]</w:t>
            </w:r>
          </w:p>
        </w:tc>
        <w:tc>
          <w:tcPr>
            <w:tcW w:w="2538" w:type="dxa"/>
            <w:vAlign w:val="center"/>
            <w:hideMark/>
          </w:tcPr>
          <w:p w14:paraId="0EE6913F"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total]</w:t>
            </w:r>
          </w:p>
        </w:tc>
        <w:tc>
          <w:tcPr>
            <w:tcW w:w="2583" w:type="dxa"/>
            <w:vAlign w:val="center"/>
            <w:hideMark/>
          </w:tcPr>
          <w:p w14:paraId="3E5ECD04" w14:textId="77777777" w:rsidR="009148D9" w:rsidRPr="00220682" w:rsidRDefault="009148D9" w:rsidP="001E0434">
            <w:pPr>
              <w:jc w:val="center"/>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quantitativo mínimo com base no percentual adotado]</w:t>
            </w:r>
          </w:p>
        </w:tc>
      </w:tr>
    </w:tbl>
    <w:p w14:paraId="58479A3C"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F6376C">
        <w:rPr>
          <w:rFonts w:ascii="Times New Roman" w:hAnsi="Times New Roman"/>
          <w:kern w:val="0"/>
          <w:sz w:val="24"/>
          <w:szCs w:val="24"/>
          <w:lang w:eastAsia="pt-BR"/>
        </w:rPr>
        <w:t>O (s) atestado(s) de Capacidade Técnica deverão apresentar dados suficientes para a verificação de sua autenticidade, identificação da entidade expedidora e do responsável que o assinar, bem como deve propiciar a confirmação de que houve cumprimento da obrigação na forma e prazo exigidos para o fornecimento do objeto deste Termo de Referência.</w:t>
      </w:r>
    </w:p>
    <w:p w14:paraId="4DF4CEA8"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 xml:space="preserve">Para a comprovação da exigência constante do item </w:t>
      </w:r>
      <w:r>
        <w:rPr>
          <w:rFonts w:ascii="Times New Roman" w:hAnsi="Times New Roman"/>
          <w:kern w:val="0"/>
          <w:sz w:val="24"/>
          <w:szCs w:val="24"/>
          <w:lang w:eastAsia="pt-BR"/>
        </w:rPr>
        <w:t>6</w:t>
      </w:r>
      <w:r w:rsidRPr="00B71F94">
        <w:rPr>
          <w:rFonts w:ascii="Times New Roman" w:hAnsi="Times New Roman"/>
          <w:kern w:val="0"/>
          <w:sz w:val="24"/>
          <w:szCs w:val="24"/>
          <w:lang w:eastAsia="pt-BR"/>
        </w:rPr>
        <w:t>.2.1.1. será aceito o somatório de atestados.</w:t>
      </w:r>
    </w:p>
    <w:p w14:paraId="43A8DB39"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Serão aceitos atestados fornecidos em nome da empresa matriz ou da(s) eventual(</w:t>
      </w:r>
      <w:proofErr w:type="spellStart"/>
      <w:r w:rsidRPr="00B71F94">
        <w:rPr>
          <w:rFonts w:ascii="Times New Roman" w:hAnsi="Times New Roman"/>
          <w:kern w:val="0"/>
          <w:sz w:val="24"/>
          <w:szCs w:val="24"/>
          <w:lang w:eastAsia="pt-BR"/>
        </w:rPr>
        <w:t>is</w:t>
      </w:r>
      <w:proofErr w:type="spellEnd"/>
      <w:r w:rsidRPr="00B71F94">
        <w:rPr>
          <w:rFonts w:ascii="Times New Roman" w:hAnsi="Times New Roman"/>
          <w:kern w:val="0"/>
          <w:sz w:val="24"/>
          <w:szCs w:val="24"/>
          <w:lang w:eastAsia="pt-BR"/>
        </w:rPr>
        <w:t>) empresa(s) filial(</w:t>
      </w:r>
      <w:proofErr w:type="spellStart"/>
      <w:r w:rsidRPr="00B71F94">
        <w:rPr>
          <w:rFonts w:ascii="Times New Roman" w:hAnsi="Times New Roman"/>
          <w:kern w:val="0"/>
          <w:sz w:val="24"/>
          <w:szCs w:val="24"/>
          <w:lang w:eastAsia="pt-BR"/>
        </w:rPr>
        <w:t>is</w:t>
      </w:r>
      <w:proofErr w:type="spellEnd"/>
      <w:r w:rsidRPr="00B71F94">
        <w:rPr>
          <w:rFonts w:ascii="Times New Roman" w:hAnsi="Times New Roman"/>
          <w:kern w:val="0"/>
          <w:sz w:val="24"/>
          <w:szCs w:val="24"/>
          <w:lang w:eastAsia="pt-BR"/>
        </w:rPr>
        <w:t>).</w:t>
      </w:r>
    </w:p>
    <w:p w14:paraId="3FEEEB87" w14:textId="77777777" w:rsidR="009148D9"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aceita a substituição do Atestado de Capacidade Técnica por cópia de contratos, tendo em vista que a simples existência do contrato não comprova a capacitação técnica da empresa, sendo que o atestado, por ser uma declaração formal do órgão público ou empresa privada, é o único meio de atestar o correto fornecimento do objeto. Será aceito a cópia do respectivo contrato para a complementação das informações dos atestados apresentados, se necessário.</w:t>
      </w:r>
    </w:p>
    <w:p w14:paraId="4BCE815E" w14:textId="77777777" w:rsidR="009148D9" w:rsidRPr="00B71F94" w:rsidRDefault="009148D9" w:rsidP="00DC07C2">
      <w:pPr>
        <w:pStyle w:val="PargrafodaLista"/>
        <w:numPr>
          <w:ilvl w:val="3"/>
          <w:numId w:val="9"/>
        </w:numPr>
        <w:spacing w:line="276" w:lineRule="auto"/>
        <w:ind w:left="1985"/>
        <w:jc w:val="both"/>
        <w:rPr>
          <w:rFonts w:ascii="Times New Roman" w:hAnsi="Times New Roman"/>
          <w:kern w:val="0"/>
          <w:sz w:val="24"/>
          <w:szCs w:val="24"/>
          <w:lang w:eastAsia="pt-BR"/>
        </w:rPr>
      </w:pPr>
      <w:r w:rsidRPr="00B71F94">
        <w:rPr>
          <w:rFonts w:ascii="Times New Roman" w:hAnsi="Times New Roman"/>
          <w:kern w:val="0"/>
          <w:sz w:val="24"/>
          <w:szCs w:val="24"/>
          <w:lang w:eastAsia="pt-BR"/>
        </w:rPr>
        <w:t>A licitante deve disponibilizar todas as informações necessárias à comprovação da legitimidade dos atestados solicitados, apresentando, dentre outros documentos, cópia do contrato que deu suporte à contratação, endereço atual da contratante e local em que foi executado o objeto contratado, dentre outros documentos.</w:t>
      </w:r>
    </w:p>
    <w:tbl>
      <w:tblPr>
        <w:tblW w:w="969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93"/>
      </w:tblGrid>
      <w:tr w:rsidR="009148D9" w:rsidRPr="00220682" w14:paraId="08AC7384" w14:textId="77777777" w:rsidTr="001E0434">
        <w:trPr>
          <w:trHeight w:val="3030"/>
          <w:tblCellSpacing w:w="7" w:type="dxa"/>
          <w:jc w:val="center"/>
        </w:trPr>
        <w:tc>
          <w:tcPr>
            <w:tcW w:w="9665" w:type="dxa"/>
            <w:tcBorders>
              <w:top w:val="outset" w:sz="6" w:space="0" w:color="auto"/>
              <w:bottom w:val="outset" w:sz="6" w:space="0" w:color="auto"/>
            </w:tcBorders>
            <w:shd w:val="clear" w:color="auto" w:fill="FFFFCC"/>
            <w:vAlign w:val="center"/>
            <w:hideMark/>
          </w:tcPr>
          <w:p w14:paraId="4C45DF7F" w14:textId="77777777" w:rsidR="009148D9" w:rsidRPr="00220682" w:rsidRDefault="009148D9" w:rsidP="001E0434">
            <w:pPr>
              <w:spacing w:line="276" w:lineRule="auto"/>
              <w:jc w:val="both"/>
              <w:rPr>
                <w:rFonts w:ascii="Times New Roman" w:hAnsi="Times New Roman"/>
                <w:kern w:val="0"/>
                <w:sz w:val="24"/>
                <w:szCs w:val="24"/>
                <w:lang w:eastAsia="pt-BR"/>
              </w:rPr>
            </w:pPr>
            <w:bookmarkStart w:id="7" w:name="_Hlk188617181"/>
            <w:r w:rsidRPr="00220682">
              <w:rPr>
                <w:rFonts w:ascii="Times New Roman" w:hAnsi="Times New Roman"/>
                <w:b/>
                <w:bCs/>
                <w:kern w:val="0"/>
                <w:sz w:val="24"/>
                <w:szCs w:val="24"/>
                <w:lang w:eastAsia="pt-BR"/>
              </w:rPr>
              <w:lastRenderedPageBreak/>
              <w:t>Nota Explicativa 1: </w:t>
            </w:r>
            <w:r w:rsidRPr="00220682">
              <w:rPr>
                <w:rFonts w:ascii="Times New Roman" w:hAnsi="Times New Roman"/>
                <w:kern w:val="0"/>
                <w:sz w:val="24"/>
                <w:szCs w:val="24"/>
                <w:lang w:eastAsia="pt-BR"/>
              </w:rPr>
              <w:t>O</w:t>
            </w:r>
            <w:r>
              <w:rPr>
                <w:rFonts w:ascii="Times New Roman" w:hAnsi="Times New Roman"/>
                <w:kern w:val="0"/>
                <w:sz w:val="24"/>
                <w:szCs w:val="24"/>
                <w:lang w:eastAsia="pt-BR"/>
              </w:rPr>
              <w:t xml:space="preserve"> </w:t>
            </w:r>
            <w:r w:rsidRPr="00220682">
              <w:rPr>
                <w:rFonts w:ascii="Times New Roman" w:hAnsi="Times New Roman"/>
                <w:kern w:val="0"/>
                <w:sz w:val="24"/>
                <w:szCs w:val="24"/>
                <w:lang w:eastAsia="pt-BR"/>
              </w:rPr>
              <w:t>(s) atestado(s) de Capacidade Técnica deverão apresentar dados suficientes para a verificação de sua autenticidade, identificação da entidade expedidora e do responsável que o assinar, bem como deve propiciar a confirmação de que houve cumprimento da obrigação na forma e prazo exigidos para o fornecimento do objeto deste Termo de Referência.</w:t>
            </w:r>
          </w:p>
          <w:p w14:paraId="2F9BD7A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Conforme o </w:t>
            </w:r>
            <w:hyperlink r:id="rId31" w:tgtFrame="_blank" w:history="1">
              <w:r w:rsidRPr="00220682">
                <w:rPr>
                  <w:rFonts w:ascii="Times New Roman" w:hAnsi="Times New Roman"/>
                  <w:color w:val="0000FF"/>
                  <w:kern w:val="0"/>
                  <w:sz w:val="24"/>
                  <w:szCs w:val="24"/>
                  <w:u w:val="single"/>
                  <w:lang w:eastAsia="pt-BR"/>
                </w:rPr>
                <w:t>§2º do art. 67 da Lei nº 14.133, de 2021</w:t>
              </w:r>
            </w:hyperlink>
            <w:r w:rsidRPr="00220682">
              <w:rPr>
                <w:rFonts w:ascii="Times New Roman" w:hAnsi="Times New Roman"/>
                <w:kern w:val="0"/>
                <w:sz w:val="24"/>
                <w:szCs w:val="24"/>
                <w:lang w:eastAsia="pt-BR"/>
              </w:rPr>
              <w:t>, “será admitida a exigência de atestados com quantidades mínimas de até </w:t>
            </w:r>
            <w:r w:rsidRPr="00220682">
              <w:rPr>
                <w:rFonts w:ascii="Times New Roman" w:hAnsi="Times New Roman"/>
                <w:b/>
                <w:bCs/>
                <w:kern w:val="0"/>
                <w:sz w:val="24"/>
                <w:szCs w:val="24"/>
                <w:lang w:eastAsia="pt-BR"/>
              </w:rPr>
              <w:t>30% (trinta por cento) das parcelas</w:t>
            </w:r>
            <w:r w:rsidRPr="00220682">
              <w:rPr>
                <w:rFonts w:ascii="Times New Roman" w:hAnsi="Times New Roman"/>
                <w:kern w:val="0"/>
                <w:sz w:val="24"/>
                <w:szCs w:val="24"/>
                <w:lang w:eastAsia="pt-BR"/>
              </w:rPr>
              <w:t> de que trata o referido parágrafo, vedadas limitações de tempo e de locais específicos relativas aos atestados”. Além disso, registre-se que só é possível a exigência de atestado quanto </w:t>
            </w:r>
            <w:r w:rsidRPr="00220682">
              <w:rPr>
                <w:rFonts w:ascii="Times New Roman" w:hAnsi="Times New Roman"/>
                <w:b/>
                <w:bCs/>
                <w:kern w:val="0"/>
                <w:sz w:val="24"/>
                <w:szCs w:val="24"/>
                <w:lang w:eastAsia="pt-BR"/>
              </w:rPr>
              <w:t>às parcelas de maior relevância</w:t>
            </w:r>
            <w:r w:rsidRPr="00220682">
              <w:rPr>
                <w:rFonts w:ascii="Times New Roman" w:hAnsi="Times New Roman"/>
                <w:kern w:val="0"/>
                <w:sz w:val="24"/>
                <w:szCs w:val="24"/>
                <w:lang w:eastAsia="pt-BR"/>
              </w:rPr>
              <w:t>, entendidas essas como as que possuem valor individual igual ou superior a </w:t>
            </w:r>
            <w:r w:rsidRPr="00220682">
              <w:rPr>
                <w:rFonts w:ascii="Times New Roman" w:hAnsi="Times New Roman"/>
                <w:b/>
                <w:bCs/>
                <w:kern w:val="0"/>
                <w:sz w:val="24"/>
                <w:szCs w:val="24"/>
                <w:lang w:eastAsia="pt-BR"/>
              </w:rPr>
              <w:t>4% do valor total estimado da contratação</w:t>
            </w:r>
            <w:r w:rsidRPr="00220682">
              <w:rPr>
                <w:rFonts w:ascii="Times New Roman" w:hAnsi="Times New Roman"/>
                <w:kern w:val="0"/>
                <w:sz w:val="24"/>
                <w:szCs w:val="24"/>
                <w:lang w:eastAsia="pt-BR"/>
              </w:rPr>
              <w:t> (art. 67, §1º).</w:t>
            </w:r>
          </w:p>
        </w:tc>
      </w:tr>
    </w:tbl>
    <w:bookmarkEnd w:id="7"/>
    <w:p w14:paraId="5AD846A0" w14:textId="77777777" w:rsidR="009148D9" w:rsidRPr="00B71F94"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F038C2">
        <w:rPr>
          <w:rFonts w:ascii="Times New Roman" w:hAnsi="Times New Roman"/>
          <w:b/>
          <w:bCs/>
          <w:kern w:val="0"/>
          <w:sz w:val="24"/>
          <w:szCs w:val="24"/>
          <w:lang w:eastAsia="pt-BR"/>
        </w:rPr>
        <w:t>Requisitos de capacidade técnico-profissional:</w:t>
      </w:r>
    </w:p>
    <w:p w14:paraId="361A4064" w14:textId="77777777" w:rsidR="009148D9" w:rsidRPr="00B71F94" w:rsidRDefault="009148D9" w:rsidP="00DC07C2">
      <w:pPr>
        <w:pStyle w:val="PargrafodaLista"/>
        <w:numPr>
          <w:ilvl w:val="3"/>
          <w:numId w:val="9"/>
        </w:numPr>
        <w:spacing w:line="276" w:lineRule="auto"/>
        <w:ind w:left="1985" w:hanging="905"/>
        <w:jc w:val="both"/>
        <w:rPr>
          <w:rFonts w:ascii="Times New Roman" w:hAnsi="Times New Roman"/>
          <w:kern w:val="0"/>
          <w:sz w:val="24"/>
          <w:szCs w:val="24"/>
          <w:lang w:eastAsia="pt-BR"/>
        </w:rPr>
      </w:pPr>
      <w:r w:rsidRPr="00B71F94">
        <w:rPr>
          <w:rFonts w:ascii="Times New Roman" w:hAnsi="Times New Roman"/>
          <w:kern w:val="0"/>
          <w:sz w:val="24"/>
          <w:szCs w:val="24"/>
          <w:lang w:eastAsia="pt-BR"/>
        </w:rPr>
        <w:t>Não será exigida documentação quanto à capacidade técnico profissional.</w:t>
      </w:r>
    </w:p>
    <w:p w14:paraId="2825151F"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31A8031B" w14:textId="77777777" w:rsidR="009148D9" w:rsidRPr="00F038C2" w:rsidRDefault="009148D9" w:rsidP="00DC07C2">
      <w:pPr>
        <w:pStyle w:val="PargrafodaLista"/>
        <w:numPr>
          <w:ilvl w:val="3"/>
          <w:numId w:val="9"/>
        </w:numPr>
        <w:spacing w:line="276" w:lineRule="auto"/>
        <w:ind w:left="1985" w:hanging="905"/>
        <w:jc w:val="both"/>
        <w:rPr>
          <w:rFonts w:ascii="Times New Roman" w:hAnsi="Times New Roman"/>
          <w:kern w:val="0"/>
          <w:sz w:val="24"/>
          <w:szCs w:val="24"/>
          <w:lang w:eastAsia="pt-BR"/>
        </w:rPr>
      </w:pPr>
      <w:r w:rsidRPr="00F038C2">
        <w:rPr>
          <w:rFonts w:ascii="Times New Roman" w:hAnsi="Times New Roman"/>
          <w:kern w:val="0"/>
          <w:sz w:val="24"/>
          <w:szCs w:val="24"/>
          <w:lang w:eastAsia="pt-BR"/>
        </w:rPr>
        <w:t xml:space="preserve">Quanto à capacitação técnico-profissional, será exigida apresentação de profissional, devidamente registrado no conselho profissional competente, quando for o caso, detentor de atestado de responsabilidade técnica por execução de </w:t>
      </w:r>
      <w:r>
        <w:rPr>
          <w:rFonts w:ascii="Times New Roman" w:hAnsi="Times New Roman"/>
          <w:color w:val="2E74B5" w:themeColor="accent5" w:themeShade="BF"/>
          <w:kern w:val="0"/>
          <w:sz w:val="24"/>
          <w:szCs w:val="24"/>
          <w:lang w:eastAsia="pt-BR"/>
        </w:rPr>
        <w:t>fornecimento de bem</w:t>
      </w:r>
      <w:r w:rsidRPr="00F038C2">
        <w:rPr>
          <w:rFonts w:ascii="Times New Roman" w:hAnsi="Times New Roman"/>
          <w:kern w:val="0"/>
          <w:sz w:val="24"/>
          <w:szCs w:val="24"/>
          <w:lang w:eastAsia="pt-BR"/>
        </w:rPr>
        <w:t xml:space="preserve"> de características similares às do objeto licitado, para órgão ou entidade da administração pública direta ou indireta, federal, estadual, municipal ou do Distrito Federal, ou ainda, para empresa privada. Para fins da comprovação de que trata este subitem, os atestados deverão dizer respeito a contratos executados com as seguintes características mínimas:</w:t>
      </w:r>
    </w:p>
    <w:p w14:paraId="158BE92B" w14:textId="77777777" w:rsidR="009148D9" w:rsidRPr="00220682" w:rsidRDefault="009148D9" w:rsidP="00DC07C2">
      <w:pPr>
        <w:numPr>
          <w:ilvl w:val="0"/>
          <w:numId w:val="4"/>
        </w:numPr>
        <w:spacing w:line="276" w:lineRule="auto"/>
        <w:ind w:left="1920"/>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Indicar o documento que será exigido ....</w:t>
      </w:r>
    </w:p>
    <w:tbl>
      <w:tblPr>
        <w:tblW w:w="9737"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7"/>
      </w:tblGrid>
      <w:tr w:rsidR="009148D9" w:rsidRPr="00220682" w14:paraId="589AEDA3" w14:textId="77777777" w:rsidTr="001E0434">
        <w:trPr>
          <w:trHeight w:val="776"/>
          <w:tblCellSpacing w:w="7" w:type="dxa"/>
          <w:jc w:val="center"/>
        </w:trPr>
        <w:tc>
          <w:tcPr>
            <w:tcW w:w="9709" w:type="dxa"/>
            <w:tcBorders>
              <w:top w:val="outset" w:sz="6" w:space="0" w:color="auto"/>
              <w:bottom w:val="outset" w:sz="6" w:space="0" w:color="auto"/>
            </w:tcBorders>
            <w:shd w:val="clear" w:color="auto" w:fill="FFFFCC"/>
            <w:vAlign w:val="center"/>
            <w:hideMark/>
          </w:tcPr>
          <w:p w14:paraId="337CDF9A"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w:t>
            </w:r>
            <w:r w:rsidRPr="00220682">
              <w:rPr>
                <w:rFonts w:ascii="Times New Roman" w:hAnsi="Times New Roman"/>
                <w:kern w:val="0"/>
                <w:sz w:val="24"/>
                <w:szCs w:val="24"/>
                <w:lang w:eastAsia="pt-BR"/>
              </w:rPr>
              <w:t>: Conforme </w:t>
            </w:r>
            <w:hyperlink r:id="rId32" w:anchor="art67%C2%A72" w:tgtFrame="_blank" w:history="1">
              <w:r w:rsidRPr="00220682">
                <w:rPr>
                  <w:rFonts w:ascii="Times New Roman" w:hAnsi="Times New Roman"/>
                  <w:color w:val="0000FF"/>
                  <w:kern w:val="0"/>
                  <w:sz w:val="24"/>
                  <w:szCs w:val="24"/>
                  <w:u w:val="single"/>
                  <w:lang w:eastAsia="pt-BR"/>
                </w:rPr>
                <w:t>§2º do art. 67 da Lei nº 14.133, de 2021</w:t>
              </w:r>
            </w:hyperlink>
            <w:r w:rsidRPr="00220682">
              <w:rPr>
                <w:rFonts w:ascii="Times New Roman" w:hAnsi="Times New Roman"/>
                <w:kern w:val="0"/>
                <w:sz w:val="24"/>
                <w:szCs w:val="24"/>
                <w:lang w:eastAsia="pt-BR"/>
              </w:rPr>
              <w:t>,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do valor total estimado da contratação (art. 67, §1º).</w:t>
            </w:r>
          </w:p>
        </w:tc>
      </w:tr>
    </w:tbl>
    <w:p w14:paraId="4A9B661F" w14:textId="77777777" w:rsidR="009148D9" w:rsidRPr="00D7244D" w:rsidRDefault="009148D9" w:rsidP="009148D9">
      <w:pPr>
        <w:pStyle w:val="PargrafodaLista"/>
        <w:spacing w:after="120" w:line="276" w:lineRule="auto"/>
        <w:ind w:left="1145"/>
        <w:jc w:val="both"/>
        <w:rPr>
          <w:rFonts w:ascii="Times New Roman" w:hAnsi="Times New Roman"/>
          <w:kern w:val="0"/>
          <w:sz w:val="24"/>
          <w:szCs w:val="24"/>
          <w:lang w:eastAsia="pt-BR"/>
        </w:rPr>
      </w:pPr>
    </w:p>
    <w:p w14:paraId="46A9A048" w14:textId="77777777" w:rsidR="009148D9" w:rsidRPr="00381608"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F038C2">
        <w:rPr>
          <w:rFonts w:ascii="Times New Roman" w:hAnsi="Times New Roman"/>
          <w:b/>
          <w:bCs/>
          <w:kern w:val="0"/>
          <w:sz w:val="24"/>
          <w:szCs w:val="24"/>
          <w:lang w:eastAsia="pt-BR"/>
        </w:rPr>
        <w:t>QUALIFICAÇÃO ECONÔMICO-FINANCEIRA:</w:t>
      </w:r>
    </w:p>
    <w:p w14:paraId="7476CF02"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Certidão negativa de insolvência civil expedida pelo distribuidor do domicílio ou sede do licitante, caso se trate de pessoa física, ou de sociedade simples;</w:t>
      </w:r>
    </w:p>
    <w:p w14:paraId="0CF06C4D"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Certidão negativa de falência expedida pelo distribuidor da sede do fornecedor (</w:t>
      </w:r>
      <w:hyperlink r:id="rId33" w:anchor="art69" w:tgtFrame="_blank" w:history="1">
        <w:r w:rsidRPr="00B71F94">
          <w:rPr>
            <w:rFonts w:ascii="Times New Roman" w:hAnsi="Times New Roman"/>
            <w:color w:val="0000FF"/>
            <w:kern w:val="0"/>
            <w:sz w:val="24"/>
            <w:szCs w:val="24"/>
            <w:u w:val="single"/>
            <w:lang w:eastAsia="pt-BR"/>
          </w:rPr>
          <w:t xml:space="preserve">Lei nº 14.133, de 2021, art. 69, </w:t>
        </w:r>
        <w:r w:rsidRPr="00B71F94">
          <w:rPr>
            <w:rFonts w:ascii="Times New Roman" w:hAnsi="Times New Roman"/>
            <w:i/>
            <w:iCs/>
            <w:color w:val="0000FF"/>
            <w:kern w:val="0"/>
            <w:sz w:val="24"/>
            <w:szCs w:val="24"/>
            <w:u w:val="single"/>
            <w:lang w:eastAsia="pt-BR"/>
          </w:rPr>
          <w:t>caput</w:t>
        </w:r>
        <w:r w:rsidRPr="00B71F94">
          <w:rPr>
            <w:rFonts w:ascii="Times New Roman" w:hAnsi="Times New Roman"/>
            <w:color w:val="0000FF"/>
            <w:kern w:val="0"/>
            <w:sz w:val="24"/>
            <w:szCs w:val="24"/>
            <w:u w:val="single"/>
            <w:lang w:eastAsia="pt-BR"/>
          </w:rPr>
          <w:t>, inciso II</w:t>
        </w:r>
      </w:hyperlink>
      <w:r w:rsidRPr="00B71F94">
        <w:rPr>
          <w:rFonts w:ascii="Times New Roman" w:hAnsi="Times New Roman"/>
          <w:kern w:val="0"/>
          <w:sz w:val="24"/>
          <w:szCs w:val="24"/>
          <w:lang w:eastAsia="pt-BR"/>
        </w:rPr>
        <w:t>);</w:t>
      </w:r>
    </w:p>
    <w:p w14:paraId="7E778116" w14:textId="77777777" w:rsidR="009148D9" w:rsidRPr="00B71F94"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B71F94">
        <w:rPr>
          <w:rFonts w:ascii="Times New Roman" w:hAnsi="Times New Roman"/>
          <w:kern w:val="0"/>
          <w:sz w:val="24"/>
          <w:szCs w:val="24"/>
          <w:lang w:eastAsia="pt-BR"/>
        </w:rPr>
        <w:t xml:space="preserve">O licitante deverá apresentar os seguintes índices contábeis, extraídos do balanço patrimonial, demonstração de resultado de exercício e demais demonstrações contábeis dos 2 (dois) últimos exercícios sociais, atestando a </w:t>
      </w:r>
      <w:r w:rsidRPr="00B71F94">
        <w:rPr>
          <w:rFonts w:ascii="Times New Roman" w:hAnsi="Times New Roman"/>
          <w:kern w:val="0"/>
          <w:sz w:val="24"/>
          <w:szCs w:val="24"/>
          <w:lang w:eastAsia="pt-BR"/>
        </w:rPr>
        <w:lastRenderedPageBreak/>
        <w:t xml:space="preserve">boa situação financeira, conforme art. 7.2 da IN/MARE 05/95, </w:t>
      </w:r>
      <w:r w:rsidRPr="00B71F94">
        <w:rPr>
          <w:rFonts w:ascii="Times New Roman" w:hAnsi="Times New Roman"/>
          <w:kern w:val="0"/>
          <w:sz w:val="24"/>
          <w:szCs w:val="24"/>
          <w:u w:val="single"/>
          <w:lang w:eastAsia="pt-BR"/>
        </w:rPr>
        <w:t>Portaria GAB. SEAD. Nº 88/15:</w:t>
      </w:r>
    </w:p>
    <w:p w14:paraId="49A03542" w14:textId="77777777" w:rsidR="009148D9" w:rsidRPr="00220682" w:rsidRDefault="009148D9" w:rsidP="009148D9">
      <w:pPr>
        <w:spacing w:line="276" w:lineRule="auto"/>
        <w:ind w:left="1560"/>
        <w:jc w:val="both"/>
        <w:rPr>
          <w:rFonts w:ascii="Times New Roman" w:hAnsi="Times New Roman"/>
          <w:kern w:val="0"/>
          <w:sz w:val="24"/>
          <w:szCs w:val="24"/>
          <w:lang w:eastAsia="pt-BR"/>
        </w:rPr>
      </w:pPr>
      <w:bookmarkStart w:id="8" w:name="_Hlk188617736"/>
      <w:r w:rsidRPr="00220682">
        <w:rPr>
          <w:rFonts w:ascii="Times New Roman" w:hAnsi="Times New Roman"/>
          <w:kern w:val="0"/>
          <w:sz w:val="24"/>
          <w:szCs w:val="24"/>
          <w:lang w:eastAsia="pt-BR"/>
        </w:rPr>
        <w:t>LG= Liquidez Geral – superior a 1</w:t>
      </w:r>
    </w:p>
    <w:p w14:paraId="22280004"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SG= Solvência Geral – superior a 1</w:t>
      </w:r>
    </w:p>
    <w:p w14:paraId="73956787"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LC= Liquidez Corrente – superior a 1</w:t>
      </w:r>
    </w:p>
    <w:p w14:paraId="45B18A39"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Sendo,</w:t>
      </w:r>
    </w:p>
    <w:p w14:paraId="47108100"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LG= (AC+RLP) / (PC+PNC)</w:t>
      </w:r>
    </w:p>
    <w:p w14:paraId="5F31C41A" w14:textId="77777777" w:rsidR="009148D9" w:rsidRPr="00AE6AB7" w:rsidRDefault="009148D9" w:rsidP="009148D9">
      <w:pPr>
        <w:spacing w:line="276" w:lineRule="auto"/>
        <w:ind w:left="1560"/>
        <w:jc w:val="both"/>
        <w:rPr>
          <w:rFonts w:ascii="Times New Roman" w:hAnsi="Times New Roman"/>
          <w:kern w:val="0"/>
          <w:sz w:val="24"/>
          <w:szCs w:val="24"/>
          <w:lang w:val="en-US" w:eastAsia="pt-BR"/>
        </w:rPr>
      </w:pPr>
      <w:r w:rsidRPr="00AE6AB7">
        <w:rPr>
          <w:rFonts w:ascii="Times New Roman" w:hAnsi="Times New Roman"/>
          <w:kern w:val="0"/>
          <w:sz w:val="24"/>
          <w:szCs w:val="24"/>
          <w:lang w:val="en-US" w:eastAsia="pt-BR"/>
        </w:rPr>
        <w:t>SG= AT / (PC+PNC)</w:t>
      </w:r>
    </w:p>
    <w:p w14:paraId="133CF0E4" w14:textId="77777777" w:rsidR="009148D9" w:rsidRPr="00AE6AB7" w:rsidRDefault="009148D9" w:rsidP="009148D9">
      <w:pPr>
        <w:spacing w:line="276" w:lineRule="auto"/>
        <w:ind w:left="1560"/>
        <w:jc w:val="both"/>
        <w:rPr>
          <w:rFonts w:ascii="Times New Roman" w:hAnsi="Times New Roman"/>
          <w:kern w:val="0"/>
          <w:sz w:val="24"/>
          <w:szCs w:val="24"/>
          <w:lang w:val="en-US" w:eastAsia="pt-BR"/>
        </w:rPr>
      </w:pPr>
      <w:r w:rsidRPr="00AE6AB7">
        <w:rPr>
          <w:rFonts w:ascii="Times New Roman" w:hAnsi="Times New Roman"/>
          <w:kern w:val="0"/>
          <w:sz w:val="24"/>
          <w:szCs w:val="24"/>
          <w:lang w:val="en-US" w:eastAsia="pt-BR"/>
        </w:rPr>
        <w:t>LC= AC / PC</w:t>
      </w:r>
    </w:p>
    <w:p w14:paraId="23F20D5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Onde:</w:t>
      </w:r>
    </w:p>
    <w:p w14:paraId="17F639B1"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AC= Ativo Circulante</w:t>
      </w:r>
    </w:p>
    <w:p w14:paraId="5C0FFD89"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RLP= Realizável a Longo Prazo</w:t>
      </w:r>
    </w:p>
    <w:p w14:paraId="6C7E607C"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PC= Passivo Circulante</w:t>
      </w:r>
    </w:p>
    <w:p w14:paraId="47486E9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PNC= Passivo Não Circulante</w:t>
      </w:r>
    </w:p>
    <w:p w14:paraId="40C71595" w14:textId="77777777" w:rsidR="009148D9" w:rsidRPr="00220682" w:rsidRDefault="009148D9" w:rsidP="009148D9">
      <w:pPr>
        <w:spacing w:line="276" w:lineRule="auto"/>
        <w:ind w:left="1560"/>
        <w:jc w:val="both"/>
        <w:rPr>
          <w:rFonts w:ascii="Times New Roman" w:hAnsi="Times New Roman"/>
          <w:kern w:val="0"/>
          <w:sz w:val="24"/>
          <w:szCs w:val="24"/>
          <w:lang w:eastAsia="pt-BR"/>
        </w:rPr>
      </w:pPr>
      <w:r w:rsidRPr="00220682">
        <w:rPr>
          <w:rFonts w:ascii="Times New Roman" w:hAnsi="Times New Roman"/>
          <w:kern w:val="0"/>
          <w:sz w:val="24"/>
          <w:szCs w:val="24"/>
          <w:lang w:eastAsia="pt-BR"/>
        </w:rPr>
        <w:t>AT= Ativo Total</w:t>
      </w:r>
    </w:p>
    <w:bookmarkEnd w:id="8"/>
    <w:p w14:paraId="3093CB99" w14:textId="77777777" w:rsidR="009148D9"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As demonstrações contábeis apresentadas poderão ser submetidas à apreciação do Conselho Regional de Contabilidade.</w:t>
      </w:r>
    </w:p>
    <w:p w14:paraId="30F67796" w14:textId="77777777" w:rsidR="009148D9"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O atendimento dos índices econômicos previstos neste item do Termo de Referência deverá ser atestado mediante declaração assinada por profissional habilitado da área contábil, apresentada pelo fornecedor.</w:t>
      </w:r>
    </w:p>
    <w:p w14:paraId="7A568882" w14:textId="77777777" w:rsidR="009148D9" w:rsidRPr="00F038C2" w:rsidRDefault="009148D9" w:rsidP="00DC07C2">
      <w:pPr>
        <w:pStyle w:val="PargrafodaLista"/>
        <w:numPr>
          <w:ilvl w:val="2"/>
          <w:numId w:val="9"/>
        </w:numPr>
        <w:tabs>
          <w:tab w:val="left" w:pos="709"/>
        </w:tabs>
        <w:spacing w:line="276" w:lineRule="auto"/>
        <w:ind w:left="709" w:firstLine="11"/>
        <w:jc w:val="both"/>
        <w:rPr>
          <w:rFonts w:ascii="Times New Roman" w:hAnsi="Times New Roman"/>
          <w:kern w:val="0"/>
          <w:sz w:val="24"/>
          <w:szCs w:val="24"/>
          <w:lang w:eastAsia="pt-BR"/>
        </w:rPr>
      </w:pPr>
      <w:r w:rsidRPr="00F038C2">
        <w:rPr>
          <w:rFonts w:ascii="Times New Roman" w:hAnsi="Times New Roman"/>
          <w:kern w:val="0"/>
          <w:sz w:val="24"/>
          <w:szCs w:val="24"/>
          <w:lang w:eastAsia="pt-BR"/>
        </w:rPr>
        <w:t xml:space="preserve">Caso a empresa interessada apresente resultado inferior ou igual a 1 (um) em qualquer dos índices de Liquidez Geral (LG), Solvência Geral (SG) e Liquidez Corrente (LC), será exigido para fins de habilitação </w:t>
      </w:r>
      <w:r w:rsidRPr="00F038C2">
        <w:rPr>
          <w:rFonts w:ascii="Times New Roman" w:hAnsi="Times New Roman"/>
          <w:b/>
          <w:bCs/>
          <w:color w:val="FF0000"/>
          <w:kern w:val="0"/>
          <w:sz w:val="24"/>
          <w:szCs w:val="24"/>
          <w:lang w:eastAsia="pt-BR"/>
        </w:rPr>
        <w:t xml:space="preserve">[capital mínimo] </w:t>
      </w:r>
      <w:r w:rsidRPr="00F038C2">
        <w:rPr>
          <w:rFonts w:ascii="Times New Roman" w:hAnsi="Times New Roman"/>
          <w:b/>
          <w:bCs/>
          <w:color w:val="FF0000"/>
          <w:kern w:val="0"/>
          <w:sz w:val="24"/>
          <w:szCs w:val="24"/>
          <w:u w:val="single"/>
          <w:lang w:eastAsia="pt-BR"/>
        </w:rPr>
        <w:t>OU</w:t>
      </w:r>
      <w:r w:rsidRPr="00F038C2">
        <w:rPr>
          <w:rFonts w:ascii="Times New Roman" w:hAnsi="Times New Roman"/>
          <w:b/>
          <w:bCs/>
          <w:color w:val="FF0000"/>
          <w:kern w:val="0"/>
          <w:sz w:val="24"/>
          <w:szCs w:val="24"/>
          <w:lang w:eastAsia="pt-BR"/>
        </w:rPr>
        <w:t xml:space="preserve"> [patrimônio líquido mínimo] de </w:t>
      </w:r>
      <w:r>
        <w:rPr>
          <w:rFonts w:ascii="Times New Roman" w:hAnsi="Times New Roman"/>
          <w:b/>
          <w:bCs/>
          <w:color w:val="FF0000"/>
          <w:kern w:val="0"/>
          <w:sz w:val="24"/>
          <w:szCs w:val="24"/>
          <w:lang w:eastAsia="pt-BR"/>
        </w:rPr>
        <w:t xml:space="preserve">[indicar porcentagem] </w:t>
      </w:r>
      <w:r w:rsidRPr="00F038C2">
        <w:rPr>
          <w:rFonts w:ascii="Times New Roman" w:hAnsi="Times New Roman"/>
          <w:b/>
          <w:bCs/>
          <w:color w:val="FF0000"/>
          <w:kern w:val="0"/>
          <w:sz w:val="24"/>
          <w:szCs w:val="24"/>
          <w:lang w:eastAsia="pt-BR"/>
        </w:rPr>
        <w:t xml:space="preserve">% do [valor total estimado da contratação] </w:t>
      </w:r>
      <w:r w:rsidRPr="00F038C2">
        <w:rPr>
          <w:rFonts w:ascii="Times New Roman" w:hAnsi="Times New Roman"/>
          <w:b/>
          <w:bCs/>
          <w:color w:val="FF0000"/>
          <w:kern w:val="0"/>
          <w:sz w:val="24"/>
          <w:szCs w:val="24"/>
          <w:u w:val="single"/>
          <w:lang w:eastAsia="pt-BR"/>
        </w:rPr>
        <w:t>OU</w:t>
      </w:r>
      <w:r w:rsidRPr="00F038C2">
        <w:rPr>
          <w:rFonts w:ascii="Times New Roman" w:hAnsi="Times New Roman"/>
          <w:b/>
          <w:bCs/>
          <w:color w:val="FF0000"/>
          <w:kern w:val="0"/>
          <w:sz w:val="24"/>
          <w:szCs w:val="24"/>
          <w:lang w:eastAsia="pt-BR"/>
        </w:rPr>
        <w:t xml:space="preserve"> [valor total estimado da parcela pertinente].</w:t>
      </w:r>
    </w:p>
    <w:tbl>
      <w:tblPr>
        <w:tblW w:w="916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65"/>
      </w:tblGrid>
      <w:tr w:rsidR="009148D9" w:rsidRPr="00220682" w14:paraId="74E46167" w14:textId="77777777" w:rsidTr="001E0434">
        <w:trPr>
          <w:tblCellSpacing w:w="7" w:type="dxa"/>
          <w:jc w:val="center"/>
        </w:trPr>
        <w:tc>
          <w:tcPr>
            <w:tcW w:w="9015" w:type="dxa"/>
            <w:tcBorders>
              <w:top w:val="outset" w:sz="6" w:space="0" w:color="auto"/>
              <w:bottom w:val="outset" w:sz="6" w:space="0" w:color="auto"/>
            </w:tcBorders>
            <w:shd w:val="clear" w:color="auto" w:fill="FFFFCC"/>
            <w:vAlign w:val="center"/>
            <w:hideMark/>
          </w:tcPr>
          <w:p w14:paraId="64BFED51"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Não podem ser cumulativas as exigências de capital mínimo e de patrimônio líquido mínimo, razão pela qual a Administração deverá escolher motivadamente entre uma das duas opções.</w:t>
            </w:r>
          </w:p>
          <w:p w14:paraId="320033A3"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xml:space="preserve"> A fixação do percentual se insere na esfera de atuação discricionária da Administração </w:t>
            </w:r>
            <w:r w:rsidRPr="00D7244D">
              <w:rPr>
                <w:rFonts w:ascii="Times New Roman" w:hAnsi="Times New Roman"/>
                <w:b/>
                <w:bCs/>
                <w:kern w:val="0"/>
                <w:sz w:val="24"/>
                <w:szCs w:val="24"/>
                <w:lang w:eastAsia="pt-BR"/>
              </w:rPr>
              <w:t>até o limite legal de 10% (dez por cento)</w:t>
            </w:r>
            <w:r w:rsidRPr="00220682">
              <w:rPr>
                <w:rFonts w:ascii="Times New Roman" w:hAnsi="Times New Roman"/>
                <w:kern w:val="0"/>
                <w:sz w:val="24"/>
                <w:szCs w:val="24"/>
                <w:lang w:eastAsia="pt-BR"/>
              </w:rPr>
              <w:t xml:space="preserve"> do valor estimado da contratação e deve ser proporcional aos riscos que a inexecução total ou parcial do contrato poderá acarretar para a Administração, considerando-se, entre outros fatores, o valor do contrato, a essencialidade do objeto, o tempo de duração do contrato.</w:t>
            </w:r>
          </w:p>
          <w:p w14:paraId="4CC9CDAE"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A sondagem do mercado se afigura importante, a fim de obter dados sobre o porte das empresas que atuam na área objeto da contratação. Ressalte-se que, se o referido percentual for fixado em seu mais alto patamar e o valor total estimado da contratação também for significativo, trará como consequência a necessidade de comprovação de patrimônio líquido elevado, o que poderá resultar na restrição à participação de interessados no certame, em especial, de microempresas ou empresas de pequeno porte, podendo ferir o princípio constitucional de incentivo a essas unidades empresariais. Por essa razão, é indispensável avaliação técnica sobre o assunto.</w:t>
            </w:r>
          </w:p>
        </w:tc>
      </w:tr>
    </w:tbl>
    <w:p w14:paraId="78799A69" w14:textId="77777777" w:rsidR="009148D9" w:rsidRPr="00D7244D" w:rsidRDefault="009148D9" w:rsidP="009148D9">
      <w:pPr>
        <w:pStyle w:val="PargrafodaLista"/>
        <w:spacing w:after="120" w:line="276" w:lineRule="auto"/>
        <w:ind w:left="1145"/>
        <w:jc w:val="both"/>
        <w:rPr>
          <w:rFonts w:ascii="Times New Roman" w:hAnsi="Times New Roman"/>
          <w:kern w:val="0"/>
          <w:sz w:val="24"/>
          <w:szCs w:val="24"/>
          <w:lang w:eastAsia="pt-BR"/>
        </w:rPr>
      </w:pPr>
    </w:p>
    <w:p w14:paraId="6C25A0DB"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REGULARIDADE FISCAL, SOCIAL E TRABALHISTA:</w:t>
      </w:r>
    </w:p>
    <w:p w14:paraId="7A98F55B" w14:textId="77777777" w:rsidR="009148D9" w:rsidRPr="00525DA6"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525DA6">
        <w:rPr>
          <w:rFonts w:ascii="Times New Roman" w:hAnsi="Times New Roman"/>
          <w:kern w:val="0"/>
          <w:sz w:val="24"/>
          <w:szCs w:val="24"/>
          <w:lang w:eastAsia="pt-BR"/>
        </w:rPr>
        <w:t>As exigências de Regularidade Fiscal, Social e Trabalhista já se encontram previstas na Parte Geral da minuta-padrão do Edital da Procuradoria Geral do Estado do Piauí - PGE-PI.</w:t>
      </w:r>
    </w:p>
    <w:p w14:paraId="59099161" w14:textId="77777777" w:rsidR="009148D9" w:rsidRPr="00D7244D" w:rsidRDefault="009148D9" w:rsidP="009148D9">
      <w:pPr>
        <w:spacing w:line="276" w:lineRule="auto"/>
        <w:ind w:left="600"/>
        <w:jc w:val="both"/>
        <w:rPr>
          <w:rFonts w:ascii="Times New Roman" w:hAnsi="Times New Roman"/>
          <w:kern w:val="0"/>
          <w:sz w:val="24"/>
          <w:szCs w:val="24"/>
          <w:lang w:eastAsia="pt-BR"/>
        </w:rPr>
      </w:pPr>
    </w:p>
    <w:p w14:paraId="5F1B10AD"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D7244D">
        <w:rPr>
          <w:rFonts w:ascii="Times New Roman" w:hAnsi="Times New Roman"/>
          <w:b/>
          <w:bCs/>
          <w:kern w:val="0"/>
          <w:sz w:val="24"/>
          <w:szCs w:val="24"/>
          <w:lang w:eastAsia="pt-BR"/>
        </w:rPr>
        <w:t>DA PREVISÃO DA VEDAÇÃO OU DA PARTICIPAÇÃO DE EMPRESAS SOB A FORMA DE CONSÓRCIO E COOPERATIVA</w:t>
      </w:r>
    </w:p>
    <w:p w14:paraId="2C5B9FE8" w14:textId="77777777" w:rsidR="009148D9" w:rsidRPr="00B71F94"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B71F94">
        <w:rPr>
          <w:rFonts w:ascii="Times New Roman" w:hAnsi="Times New Roman"/>
          <w:b/>
          <w:bCs/>
          <w:kern w:val="0"/>
          <w:sz w:val="24"/>
          <w:szCs w:val="24"/>
          <w:lang w:eastAsia="pt-BR"/>
        </w:rPr>
        <w:t>Não poderão participar desta licitação consorcio de empresas,</w:t>
      </w:r>
      <w:r w:rsidRPr="00B71F94">
        <w:rPr>
          <w:rFonts w:ascii="Times New Roman" w:hAnsi="Times New Roman"/>
          <w:kern w:val="0"/>
          <w:sz w:val="24"/>
          <w:szCs w:val="24"/>
          <w:lang w:eastAsia="pt-BR"/>
        </w:rPr>
        <w:t> qualquer que seja a sua forma de constituição. A vedação a participação de consórcio neste certame justifica-se diante da natureza do objeto licitado, o qual apresenta natureza comum, podendo ser ofertado por um número amplo de potenciais participantes, inclusive empresas de pequeno e médio porte que em sua maioria apresentam o mínimo exigido no tocante a qualificação técnica e econômico-financeira, não implicando em qualquer limitação quanto a competitividade.</w:t>
      </w:r>
    </w:p>
    <w:p w14:paraId="52123FB4"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122AD9D"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Será permitida a participação de consórcio. </w:t>
      </w:r>
    </w:p>
    <w:p w14:paraId="4A6B35FA" w14:textId="77777777" w:rsidR="009148D9" w:rsidRPr="00D7244D" w:rsidRDefault="009148D9" w:rsidP="00DC07C2">
      <w:pPr>
        <w:pStyle w:val="PargrafodaLista"/>
        <w:numPr>
          <w:ilvl w:val="2"/>
          <w:numId w:val="9"/>
        </w:numPr>
        <w:spacing w:line="276" w:lineRule="auto"/>
        <w:ind w:left="1276"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os consórcios não formados integralmente por microempresas ou empresas de pequeno porte, haverá um acréscimo de </w:t>
      </w:r>
      <w:r w:rsidRPr="00D7244D">
        <w:rPr>
          <w:rFonts w:ascii="Times New Roman" w:hAnsi="Times New Roman"/>
          <w:color w:val="FF0000"/>
          <w:kern w:val="0"/>
          <w:sz w:val="24"/>
          <w:szCs w:val="24"/>
          <w:lang w:eastAsia="pt-BR"/>
        </w:rPr>
        <w:t>(10% a 30%) [especificar o percentual] </w:t>
      </w:r>
      <w:r w:rsidRPr="00D7244D">
        <w:rPr>
          <w:rFonts w:ascii="Times New Roman" w:hAnsi="Times New Roman"/>
          <w:kern w:val="0"/>
          <w:sz w:val="24"/>
          <w:szCs w:val="24"/>
          <w:lang w:eastAsia="pt-BR"/>
        </w:rPr>
        <w:t>para o consórcio em relação ao valor exigido para os licitantes individuais, conforme art. 15, § 2º, da Lei n. 14.133/2021.</w:t>
      </w:r>
    </w:p>
    <w:p w14:paraId="0E029EC6"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1591DB70" w14:textId="77777777" w:rsidR="009148D9" w:rsidRPr="00D7244D" w:rsidRDefault="009148D9" w:rsidP="00DC07C2">
      <w:pPr>
        <w:pStyle w:val="PargrafodaLista"/>
        <w:numPr>
          <w:ilvl w:val="2"/>
          <w:numId w:val="9"/>
        </w:numPr>
        <w:spacing w:line="276" w:lineRule="auto"/>
        <w:ind w:left="1276"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Não haverá acréscimo quanto aos requisitos de habilitação econômico-financeira para os consórcios não formados integralmente por microempresas ou empresas de pequeno porte, conforme justificativa constante nos autos.</w:t>
      </w:r>
    </w:p>
    <w:p w14:paraId="179C126F"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Não será permitida a participação das cooperativas</w:t>
      </w:r>
      <w:r w:rsidRPr="00D7244D">
        <w:rPr>
          <w:rFonts w:ascii="Times New Roman" w:hAnsi="Times New Roman"/>
          <w:kern w:val="0"/>
          <w:sz w:val="24"/>
          <w:szCs w:val="24"/>
          <w:lang w:eastAsia="pt-BR"/>
        </w:rPr>
        <w:t xml:space="preserve"> no certame, a vedação a participação de cooperativas neste certame justifica-se em razão das características do </w:t>
      </w:r>
      <w:r w:rsidRPr="00D007BA">
        <w:rPr>
          <w:rFonts w:ascii="Times New Roman" w:hAnsi="Times New Roman"/>
          <w:color w:val="2E74B5" w:themeColor="accent5" w:themeShade="BF"/>
          <w:kern w:val="0"/>
          <w:sz w:val="24"/>
          <w:szCs w:val="24"/>
          <w:lang w:eastAsia="pt-BR"/>
        </w:rPr>
        <w:t>objeto</w:t>
      </w:r>
      <w:r w:rsidRPr="00D7244D">
        <w:rPr>
          <w:rFonts w:ascii="Times New Roman" w:hAnsi="Times New Roman"/>
          <w:kern w:val="0"/>
          <w:sz w:val="24"/>
          <w:szCs w:val="24"/>
          <w:lang w:eastAsia="pt-BR"/>
        </w:rPr>
        <w:t xml:space="preserve"> que se pretende contratar é passível de execução com autonomia pelos cooperados, sem relação de subordinação, seja entre a cooperativa e os cooperados, seja entre estes e a Administração.</w:t>
      </w:r>
    </w:p>
    <w:p w14:paraId="597BEF62"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029B7240"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Será permitida a participação de cooperativas, desde que apresentem modelo de gestão operacional adequado ao objeto desta licitação, com compartilhamento ou rodízio das atividades de coordenação e supervisão da execução dos</w:t>
      </w:r>
      <w:r>
        <w:rPr>
          <w:rFonts w:ascii="Times New Roman" w:hAnsi="Times New Roman"/>
          <w:kern w:val="0"/>
          <w:sz w:val="24"/>
          <w:szCs w:val="24"/>
          <w:lang w:eastAsia="pt-BR"/>
        </w:rPr>
        <w:t xml:space="preserve"> objetos</w:t>
      </w:r>
      <w:r w:rsidRPr="00D7244D">
        <w:rPr>
          <w:rFonts w:ascii="Times New Roman" w:hAnsi="Times New Roman"/>
          <w:kern w:val="0"/>
          <w:sz w:val="24"/>
          <w:szCs w:val="24"/>
          <w:lang w:eastAsia="pt-BR"/>
        </w:rPr>
        <w:t xml:space="preserve">, e desde que os </w:t>
      </w:r>
      <w:r>
        <w:rPr>
          <w:rFonts w:ascii="Times New Roman" w:hAnsi="Times New Roman"/>
          <w:kern w:val="0"/>
          <w:sz w:val="24"/>
          <w:szCs w:val="24"/>
          <w:lang w:eastAsia="pt-BR"/>
        </w:rPr>
        <w:t>bens</w:t>
      </w:r>
      <w:r w:rsidRPr="00D7244D">
        <w:rPr>
          <w:rFonts w:ascii="Times New Roman" w:hAnsi="Times New Roman"/>
          <w:kern w:val="0"/>
          <w:sz w:val="24"/>
          <w:szCs w:val="24"/>
          <w:lang w:eastAsia="pt-BR"/>
        </w:rPr>
        <w:t xml:space="preserve"> contratados sejam executados obrigatoriamente pelos cooperados, vedando-se qualquer intermediação ou subcontratação.</w:t>
      </w:r>
    </w:p>
    <w:tbl>
      <w:tblPr>
        <w:tblW w:w="960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04"/>
      </w:tblGrid>
      <w:tr w:rsidR="009148D9" w:rsidRPr="00D7244D" w14:paraId="79B06700" w14:textId="77777777" w:rsidTr="001E0434">
        <w:trPr>
          <w:trHeight w:val="1195"/>
          <w:tblCellSpacing w:w="7" w:type="dxa"/>
          <w:jc w:val="center"/>
        </w:trPr>
        <w:tc>
          <w:tcPr>
            <w:tcW w:w="9576" w:type="dxa"/>
            <w:tcBorders>
              <w:top w:val="outset" w:sz="6" w:space="0" w:color="auto"/>
              <w:bottom w:val="outset" w:sz="6" w:space="0" w:color="auto"/>
            </w:tcBorders>
            <w:shd w:val="clear" w:color="auto" w:fill="FFFFCC"/>
            <w:vAlign w:val="center"/>
            <w:hideMark/>
          </w:tcPr>
          <w:p w14:paraId="207AA717"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 A</w:t>
            </w:r>
            <w:r w:rsidRPr="00D7244D">
              <w:rPr>
                <w:rFonts w:ascii="Times New Roman" w:hAnsi="Times New Roman"/>
                <w:kern w:val="0"/>
                <w:sz w:val="24"/>
                <w:szCs w:val="24"/>
                <w:lang w:eastAsia="pt-BR"/>
              </w:rPr>
              <w:t> vedação de participação no processo licitatório de pessoas jurídicas reunidas em consórcio é exceção e essa opção deverá ser devidamente justificada pela Administração, nos termos do </w:t>
            </w:r>
            <w:hyperlink r:id="rId34" w:anchor="art15" w:tgtFrame="_blank" w:history="1">
              <w:r w:rsidRPr="00D7244D">
                <w:rPr>
                  <w:rFonts w:ascii="Times New Roman" w:hAnsi="Times New Roman"/>
                  <w:color w:val="0000FF"/>
                  <w:kern w:val="0"/>
                  <w:sz w:val="24"/>
                  <w:szCs w:val="24"/>
                  <w:u w:val="single"/>
                  <w:lang w:eastAsia="pt-BR"/>
                </w:rPr>
                <w:t>art. 15, caput, da Lei nº 14.133, de 2021.</w:t>
              </w:r>
            </w:hyperlink>
          </w:p>
          <w:p w14:paraId="1C68ECC9"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lastRenderedPageBreak/>
              <w:t>Nota Explicativa 2:</w:t>
            </w:r>
            <w:r w:rsidRPr="00D7244D">
              <w:rPr>
                <w:rFonts w:ascii="Times New Roman" w:hAnsi="Times New Roman"/>
                <w:kern w:val="0"/>
                <w:sz w:val="24"/>
                <w:szCs w:val="24"/>
                <w:lang w:eastAsia="pt-BR"/>
              </w:rPr>
              <w:t> O órgão licitante deve analisar com cautela as características do serviço que pretende contratar, especialmente quanto às diversas obrigações dos trabalhadores que executarão os serviços, para verificar se, no caso concreto, as tarefas seriam passíveis de execução com autonomia pelos cooperados, sem relação de subordinação, seja entre a cooperativa e os cooperados, seja entre estes e a Administração.</w:t>
            </w:r>
          </w:p>
          <w:p w14:paraId="005093D2"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Nos termos do artigo 10 da Instrução Normativa SEGES/MP n° 5, de 2017 os requisitos de habilitação para participação de cooperativa devem observar o previsto no item 10.5 do Anexo VII-A da IN SEGES/MP n. 5, de 2017.</w:t>
            </w:r>
          </w:p>
          <w:p w14:paraId="2E4386A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Em caso positivo, a participação de cooperativas será permitida. Do contrário, deve ser vedada a participação de cooperativas no certame.</w:t>
            </w:r>
          </w:p>
          <w:p w14:paraId="6F908FD3"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Súmula 281 do TCU: “É vedada a participação de cooperativas em licitação quando, pela natureza do serviço ou pelo modo como é usualmente executado no mercado em geral, houver necessidade de subordinação jurídica entre o obreiro e o contratado, bem como de pessoalidade e habitualidade”.</w:t>
            </w:r>
          </w:p>
          <w:p w14:paraId="17EA88DE"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Conforme art. 16 da Lei n. 14.133/2021</w:t>
            </w:r>
            <w:r w:rsidRPr="00D7244D">
              <w:rPr>
                <w:rFonts w:ascii="Times New Roman" w:hAnsi="Times New Roman"/>
                <w:kern w:val="0"/>
                <w:sz w:val="24"/>
                <w:szCs w:val="24"/>
                <w:lang w:eastAsia="pt-BR"/>
              </w:rPr>
              <w:t>:</w:t>
            </w:r>
          </w:p>
          <w:p w14:paraId="1B915FD4" w14:textId="77777777" w:rsidR="009148D9" w:rsidRPr="00D7244D" w:rsidRDefault="009148D9" w:rsidP="001E0434">
            <w:pPr>
              <w:spacing w:line="276" w:lineRule="auto"/>
              <w:ind w:left="1656"/>
              <w:jc w:val="both"/>
              <w:rPr>
                <w:rFonts w:ascii="Times New Roman" w:hAnsi="Times New Roman"/>
                <w:kern w:val="0"/>
                <w:sz w:val="24"/>
                <w:szCs w:val="24"/>
                <w:lang w:eastAsia="pt-BR"/>
              </w:rPr>
            </w:pPr>
            <w:r w:rsidRPr="00D7244D">
              <w:rPr>
                <w:rFonts w:ascii="Times New Roman" w:hAnsi="Times New Roman"/>
                <w:kern w:val="0"/>
                <w:sz w:val="24"/>
                <w:szCs w:val="24"/>
                <w:lang w:eastAsia="pt-BR"/>
              </w:rPr>
              <w:t>Art. 16. Os profissionais organizados sob a forma de cooperativa poderão participar de licitação quando:</w:t>
            </w:r>
          </w:p>
          <w:p w14:paraId="3315FDD1"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9" w:name="art16i"/>
            <w:bookmarkEnd w:id="9"/>
            <w:r w:rsidRPr="00D7244D">
              <w:rPr>
                <w:rFonts w:ascii="Times New Roman" w:hAnsi="Times New Roman"/>
                <w:kern w:val="0"/>
                <w:sz w:val="24"/>
                <w:szCs w:val="24"/>
                <w:lang w:eastAsia="pt-BR"/>
              </w:rPr>
              <w:t>I - a constituição e o funcionamento da cooperativa observarem as regras estabelecidas na legislação aplicável, em especial a </w:t>
            </w:r>
            <w:hyperlink r:id="rId35" w:tgtFrame="_blank" w:history="1">
              <w:r w:rsidRPr="00D7244D">
                <w:rPr>
                  <w:rFonts w:ascii="Times New Roman" w:hAnsi="Times New Roman"/>
                  <w:color w:val="0000FF"/>
                  <w:kern w:val="0"/>
                  <w:sz w:val="24"/>
                  <w:szCs w:val="24"/>
                  <w:u w:val="single"/>
                  <w:lang w:eastAsia="pt-BR"/>
                </w:rPr>
                <w:t>Lei nº 5.764, de 16 de dezembro de 1971</w:t>
              </w:r>
            </w:hyperlink>
            <w:r w:rsidRPr="00D7244D">
              <w:rPr>
                <w:rFonts w:ascii="Times New Roman" w:hAnsi="Times New Roman"/>
                <w:kern w:val="0"/>
                <w:sz w:val="24"/>
                <w:szCs w:val="24"/>
                <w:lang w:eastAsia="pt-BR"/>
              </w:rPr>
              <w:t>, a </w:t>
            </w:r>
            <w:hyperlink r:id="rId36" w:tgtFrame="_blank" w:history="1">
              <w:r w:rsidRPr="00D7244D">
                <w:rPr>
                  <w:rFonts w:ascii="Times New Roman" w:hAnsi="Times New Roman"/>
                  <w:color w:val="0000FF"/>
                  <w:kern w:val="0"/>
                  <w:sz w:val="24"/>
                  <w:szCs w:val="24"/>
                  <w:u w:val="single"/>
                  <w:lang w:eastAsia="pt-BR"/>
                </w:rPr>
                <w:t>Lei nº 12.690, de 19 de julho de 2012</w:t>
              </w:r>
            </w:hyperlink>
            <w:r w:rsidRPr="00D7244D">
              <w:rPr>
                <w:rFonts w:ascii="Times New Roman" w:hAnsi="Times New Roman"/>
                <w:kern w:val="0"/>
                <w:sz w:val="24"/>
                <w:szCs w:val="24"/>
                <w:lang w:eastAsia="pt-BR"/>
              </w:rPr>
              <w:t>, e a </w:t>
            </w:r>
            <w:hyperlink r:id="rId37" w:tgtFrame="_blank" w:history="1">
              <w:r w:rsidRPr="00D7244D">
                <w:rPr>
                  <w:rFonts w:ascii="Times New Roman" w:hAnsi="Times New Roman"/>
                  <w:color w:val="0000FF"/>
                  <w:kern w:val="0"/>
                  <w:sz w:val="24"/>
                  <w:szCs w:val="24"/>
                  <w:u w:val="single"/>
                  <w:lang w:eastAsia="pt-BR"/>
                </w:rPr>
                <w:t>Lei Complementar nº 130, de 17 de abril de 2009;</w:t>
              </w:r>
            </w:hyperlink>
          </w:p>
          <w:p w14:paraId="6DB6FE6F"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0" w:name="art16ii"/>
            <w:bookmarkEnd w:id="10"/>
            <w:r w:rsidRPr="00D7244D">
              <w:rPr>
                <w:rFonts w:ascii="Times New Roman" w:hAnsi="Times New Roman"/>
                <w:kern w:val="0"/>
                <w:sz w:val="24"/>
                <w:szCs w:val="24"/>
                <w:lang w:eastAsia="pt-BR"/>
              </w:rPr>
              <w:t xml:space="preserve">II - </w:t>
            </w:r>
            <w:proofErr w:type="gramStart"/>
            <w:r w:rsidRPr="00D7244D">
              <w:rPr>
                <w:rFonts w:ascii="Times New Roman" w:hAnsi="Times New Roman"/>
                <w:kern w:val="0"/>
                <w:sz w:val="24"/>
                <w:szCs w:val="24"/>
                <w:lang w:eastAsia="pt-BR"/>
              </w:rPr>
              <w:t>a</w:t>
            </w:r>
            <w:proofErr w:type="gramEnd"/>
            <w:r w:rsidRPr="00D7244D">
              <w:rPr>
                <w:rFonts w:ascii="Times New Roman" w:hAnsi="Times New Roman"/>
                <w:kern w:val="0"/>
                <w:sz w:val="24"/>
                <w:szCs w:val="24"/>
                <w:lang w:eastAsia="pt-BR"/>
              </w:rPr>
              <w:t xml:space="preserve"> cooperativa apresentar demonstrativo de atuação em regime cooperado, com repartição de receitas e despesas entre os cooperados;</w:t>
            </w:r>
          </w:p>
          <w:p w14:paraId="204BDB6B"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1" w:name="art16iii"/>
            <w:bookmarkEnd w:id="11"/>
            <w:r w:rsidRPr="00D7244D">
              <w:rPr>
                <w:rFonts w:ascii="Times New Roman" w:hAnsi="Times New Roman"/>
                <w:kern w:val="0"/>
                <w:sz w:val="24"/>
                <w:szCs w:val="24"/>
                <w:lang w:eastAsia="pt-BR"/>
              </w:rPr>
              <w:t>III - qualquer cooperado, com igual qualificação, for capaz de executar o objeto contratado, vedado à Administração indicar nominalmente pessoas;</w:t>
            </w:r>
          </w:p>
          <w:p w14:paraId="192D4B59" w14:textId="77777777" w:rsidR="009148D9" w:rsidRPr="00D7244D" w:rsidRDefault="009148D9" w:rsidP="001E0434">
            <w:pPr>
              <w:spacing w:line="276" w:lineRule="auto"/>
              <w:ind w:left="1656"/>
              <w:jc w:val="both"/>
              <w:rPr>
                <w:rFonts w:ascii="Times New Roman" w:hAnsi="Times New Roman"/>
                <w:kern w:val="0"/>
                <w:sz w:val="24"/>
                <w:szCs w:val="24"/>
                <w:lang w:eastAsia="pt-BR"/>
              </w:rPr>
            </w:pPr>
            <w:bookmarkStart w:id="12" w:name="art16iv"/>
            <w:bookmarkEnd w:id="12"/>
            <w:r w:rsidRPr="00D7244D">
              <w:rPr>
                <w:rFonts w:ascii="Times New Roman" w:hAnsi="Times New Roman"/>
                <w:kern w:val="0"/>
                <w:sz w:val="24"/>
                <w:szCs w:val="24"/>
                <w:lang w:eastAsia="pt-BR"/>
              </w:rPr>
              <w:t>IV - o objeto da licitação referir-se, em se tratando de cooperativas enquadradas na </w:t>
            </w:r>
            <w:hyperlink r:id="rId38" w:tgtFrame="_blank" w:history="1">
              <w:r w:rsidRPr="00D7244D">
                <w:rPr>
                  <w:rFonts w:ascii="Times New Roman" w:hAnsi="Times New Roman"/>
                  <w:color w:val="0000FF"/>
                  <w:kern w:val="0"/>
                  <w:sz w:val="24"/>
                  <w:szCs w:val="24"/>
                  <w:u w:val="single"/>
                  <w:lang w:eastAsia="pt-BR"/>
                </w:rPr>
                <w:t>Lei nº 12.690, de 19 de julho de 2012</w:t>
              </w:r>
            </w:hyperlink>
            <w:r w:rsidRPr="00D7244D">
              <w:rPr>
                <w:rFonts w:ascii="Times New Roman" w:hAnsi="Times New Roman"/>
                <w:kern w:val="0"/>
                <w:sz w:val="24"/>
                <w:szCs w:val="24"/>
                <w:lang w:eastAsia="pt-BR"/>
              </w:rPr>
              <w:t>, a serviços especializados constantes do objeto social da cooperativa, a serem executados de forma complementar à sua atuação.</w:t>
            </w:r>
          </w:p>
        </w:tc>
      </w:tr>
    </w:tbl>
    <w:p w14:paraId="7F6C6AC0" w14:textId="77777777" w:rsidR="009148D9" w:rsidRPr="00D7244D" w:rsidRDefault="009148D9" w:rsidP="009148D9">
      <w:pPr>
        <w:pStyle w:val="PargrafodaLista"/>
        <w:spacing w:line="276" w:lineRule="auto"/>
        <w:jc w:val="both"/>
        <w:rPr>
          <w:rFonts w:ascii="Times New Roman" w:hAnsi="Times New Roman"/>
          <w:kern w:val="0"/>
          <w:sz w:val="24"/>
          <w:szCs w:val="24"/>
          <w:lang w:eastAsia="pt-BR"/>
        </w:rPr>
      </w:pPr>
    </w:p>
    <w:p w14:paraId="7D483C69" w14:textId="77777777" w:rsidR="009148D9" w:rsidRPr="00D7244D"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DOS CRITÉRIOS DE ACEITAÇÃO DAS PROPOSTAS:</w:t>
      </w:r>
    </w:p>
    <w:p w14:paraId="5742814D" w14:textId="77777777" w:rsidR="009148D9" w:rsidRPr="00E628C9" w:rsidRDefault="009148D9" w:rsidP="00DC07C2">
      <w:pPr>
        <w:pStyle w:val="Nvel02"/>
        <w:numPr>
          <w:ilvl w:val="1"/>
          <w:numId w:val="9"/>
        </w:numPr>
        <w:rPr>
          <w:color w:val="FF0000"/>
        </w:rPr>
      </w:pPr>
      <w:bookmarkStart w:id="13" w:name="_Hlk171371336"/>
      <w:r w:rsidRPr="00E628C9">
        <w:t xml:space="preserve">O fornecedor será selecionado por meio da realização de procedimento de LICITAÇÃO, na modalidade </w:t>
      </w:r>
      <w:r w:rsidRPr="00DC07C2">
        <w:rPr>
          <w:color w:val="FF0000"/>
        </w:rPr>
        <w:t xml:space="preserve">[PREGÃO] </w:t>
      </w:r>
      <w:r w:rsidRPr="00DC07C2">
        <w:rPr>
          <w:b/>
          <w:color w:val="FF0000"/>
          <w:highlight w:val="yellow"/>
        </w:rPr>
        <w:t xml:space="preserve">OU </w:t>
      </w:r>
      <w:r w:rsidRPr="00DC07C2">
        <w:rPr>
          <w:color w:val="FF0000"/>
          <w:highlight w:val="yellow"/>
        </w:rPr>
        <w:t>[CONCORRÊNCIA</w:t>
      </w:r>
      <w:r w:rsidRPr="00E628C9">
        <w:rPr>
          <w:color w:val="FF0000"/>
        </w:rPr>
        <w:t>]</w:t>
      </w:r>
      <w:r w:rsidRPr="00E628C9">
        <w:t xml:space="preserve">, sob a forma ELETRÔNICA, com adoção do critério de julgamento pelo </w:t>
      </w:r>
      <w:r w:rsidRPr="00DC07C2">
        <w:rPr>
          <w:color w:val="FF0000"/>
        </w:rPr>
        <w:t>[MENOR PREÇO</w:t>
      </w:r>
      <w:r w:rsidRPr="00E628C9">
        <w:rPr>
          <w:color w:val="FF0000"/>
        </w:rPr>
        <w:t xml:space="preserve">] </w:t>
      </w:r>
      <w:r w:rsidRPr="00DC07C2">
        <w:rPr>
          <w:b/>
          <w:iCs w:val="0"/>
          <w:color w:val="FF0000"/>
        </w:rPr>
        <w:t>OU</w:t>
      </w:r>
      <w:r w:rsidRPr="00DC07C2">
        <w:rPr>
          <w:iCs w:val="0"/>
          <w:color w:val="FF0000"/>
        </w:rPr>
        <w:t xml:space="preserve"> [MAIOR DESCONTO] </w:t>
      </w:r>
      <w:r w:rsidRPr="00DC07C2">
        <w:rPr>
          <w:b/>
          <w:iCs w:val="0"/>
          <w:color w:val="FF0000"/>
          <w:highlight w:val="yellow"/>
        </w:rPr>
        <w:t>OU</w:t>
      </w:r>
      <w:r w:rsidRPr="00DC07C2">
        <w:rPr>
          <w:iCs w:val="0"/>
          <w:color w:val="FF0000"/>
          <w:highlight w:val="yellow"/>
        </w:rPr>
        <w:t xml:space="preserve"> [TÉCNICA E PREÇO]</w:t>
      </w:r>
      <w:r w:rsidRPr="00DC07C2">
        <w:rPr>
          <w:iCs w:val="0"/>
          <w:color w:val="FF0000"/>
        </w:rPr>
        <w:t>.</w:t>
      </w:r>
      <w:bookmarkEnd w:id="13"/>
    </w:p>
    <w:p w14:paraId="2D675C3D"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A licitação do objeto consubstanciado neste Termo de Referência é </w:t>
      </w:r>
      <w:r w:rsidRPr="00D7244D">
        <w:rPr>
          <w:rFonts w:ascii="Times New Roman" w:hAnsi="Times New Roman"/>
          <w:b/>
          <w:bCs/>
          <w:kern w:val="0"/>
          <w:sz w:val="24"/>
          <w:szCs w:val="24"/>
          <w:lang w:eastAsia="pt-BR"/>
        </w:rPr>
        <w:t>dividida em</w:t>
      </w:r>
      <w:r w:rsidRPr="00D7244D">
        <w:rPr>
          <w:rFonts w:ascii="Times New Roman" w:hAnsi="Times New Roman"/>
          <w:b/>
          <w:bCs/>
          <w:color w:val="FF0000"/>
          <w:kern w:val="0"/>
          <w:sz w:val="24"/>
          <w:szCs w:val="24"/>
          <w:lang w:eastAsia="pt-BR"/>
        </w:rPr>
        <w:t xml:space="preserve"> XX </w:t>
      </w:r>
      <w:r w:rsidRPr="00B71F94">
        <w:rPr>
          <w:rFonts w:ascii="Times New Roman" w:hAnsi="Times New Roman"/>
          <w:b/>
          <w:bCs/>
          <w:color w:val="2E74B5" w:themeColor="accent5" w:themeShade="BF"/>
          <w:kern w:val="0"/>
          <w:sz w:val="24"/>
          <w:szCs w:val="24"/>
          <w:lang w:eastAsia="pt-BR"/>
        </w:rPr>
        <w:t>GRUPOS</w:t>
      </w:r>
      <w:r w:rsidRPr="00D7244D">
        <w:rPr>
          <w:rFonts w:ascii="Times New Roman" w:hAnsi="Times New Roman"/>
          <w:kern w:val="0"/>
          <w:sz w:val="24"/>
          <w:szCs w:val="24"/>
          <w:lang w:eastAsia="pt-BR"/>
        </w:rPr>
        <w:t xml:space="preserve">, conforme tabela constante no </w:t>
      </w:r>
      <w:r w:rsidRPr="00D7244D">
        <w:rPr>
          <w:rFonts w:ascii="Times New Roman" w:hAnsi="Times New Roman"/>
          <w:b/>
          <w:bCs/>
          <w:color w:val="FF0000"/>
          <w:kern w:val="0"/>
          <w:sz w:val="24"/>
          <w:szCs w:val="24"/>
          <w:lang w:eastAsia="pt-BR"/>
        </w:rPr>
        <w:t>ANEXO XX </w:t>
      </w:r>
      <w:r w:rsidRPr="00D7244D">
        <w:rPr>
          <w:rFonts w:ascii="Times New Roman" w:hAnsi="Times New Roman"/>
          <w:kern w:val="0"/>
          <w:sz w:val="24"/>
          <w:szCs w:val="24"/>
          <w:lang w:eastAsia="pt-BR"/>
        </w:rPr>
        <w:t>deste Termo de Referência, facultando-se ao licitante a participação em quantos </w:t>
      </w:r>
      <w:r w:rsidRPr="00D7244D">
        <w:rPr>
          <w:rFonts w:ascii="Times New Roman" w:hAnsi="Times New Roman"/>
          <w:color w:val="FF0000"/>
          <w:kern w:val="0"/>
          <w:sz w:val="24"/>
          <w:szCs w:val="24"/>
          <w:lang w:eastAsia="pt-BR"/>
        </w:rPr>
        <w:t>itens/</w:t>
      </w:r>
      <w:r w:rsidRPr="00B71F94">
        <w:rPr>
          <w:rFonts w:ascii="Times New Roman" w:hAnsi="Times New Roman"/>
          <w:color w:val="2E74B5" w:themeColor="accent5" w:themeShade="BF"/>
          <w:kern w:val="0"/>
          <w:sz w:val="24"/>
          <w:szCs w:val="24"/>
          <w:lang w:eastAsia="pt-BR"/>
        </w:rPr>
        <w:t>grupos</w:t>
      </w:r>
      <w:r w:rsidRPr="00D7244D">
        <w:rPr>
          <w:rFonts w:ascii="Times New Roman" w:hAnsi="Times New Roman"/>
          <w:kern w:val="0"/>
          <w:sz w:val="24"/>
          <w:szCs w:val="24"/>
          <w:lang w:eastAsia="pt-BR"/>
        </w:rPr>
        <w:t> for de seu interesse.</w:t>
      </w:r>
    </w:p>
    <w:p w14:paraId="714A4DE6" w14:textId="77777777" w:rsidR="009148D9" w:rsidRPr="00D7244D" w:rsidRDefault="009148D9" w:rsidP="009148D9">
      <w:pPr>
        <w:spacing w:line="276" w:lineRule="auto"/>
        <w:jc w:val="center"/>
        <w:rPr>
          <w:rFonts w:ascii="Times New Roman" w:hAnsi="Times New Roman"/>
          <w:b/>
          <w:bCs/>
          <w:color w:val="FF0000"/>
          <w:kern w:val="0"/>
          <w:sz w:val="24"/>
          <w:szCs w:val="24"/>
          <w:lang w:eastAsia="pt-BR"/>
        </w:rPr>
      </w:pPr>
      <w:r w:rsidRPr="00D7244D">
        <w:rPr>
          <w:rFonts w:ascii="Times New Roman" w:hAnsi="Times New Roman"/>
          <w:b/>
          <w:bCs/>
          <w:color w:val="FF0000"/>
          <w:kern w:val="0"/>
          <w:sz w:val="24"/>
          <w:szCs w:val="24"/>
          <w:lang w:eastAsia="pt-BR"/>
        </w:rPr>
        <w:t>OU</w:t>
      </w:r>
    </w:p>
    <w:p w14:paraId="4A9B642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372F19">
        <w:rPr>
          <w:rFonts w:ascii="Times New Roman" w:hAnsi="Times New Roman"/>
          <w:kern w:val="0"/>
          <w:sz w:val="24"/>
          <w:szCs w:val="24"/>
          <w:shd w:val="clear" w:color="auto" w:fill="FFFF00"/>
          <w:lang w:eastAsia="pt-BR"/>
        </w:rPr>
        <w:lastRenderedPageBreak/>
        <w:t>O objeto da presente licitação será adjudicado por preço global</w:t>
      </w:r>
      <w:r w:rsidRPr="00D7244D">
        <w:rPr>
          <w:rFonts w:ascii="Times New Roman" w:hAnsi="Times New Roman"/>
          <w:kern w:val="0"/>
          <w:sz w:val="24"/>
          <w:szCs w:val="24"/>
          <w:lang w:eastAsia="pt-BR"/>
        </w:rPr>
        <w:t>, </w:t>
      </w:r>
      <w:r w:rsidRPr="00D7244D">
        <w:rPr>
          <w:rFonts w:ascii="Times New Roman" w:hAnsi="Times New Roman"/>
          <w:color w:val="FF0000"/>
          <w:kern w:val="0"/>
          <w:sz w:val="24"/>
          <w:szCs w:val="24"/>
          <w:lang w:eastAsia="pt-BR"/>
        </w:rPr>
        <w:t>haja vista a natureza indivisível do objeto</w:t>
      </w:r>
      <w:r w:rsidRPr="00D7244D">
        <w:rPr>
          <w:rFonts w:ascii="Times New Roman" w:hAnsi="Times New Roman"/>
          <w:b/>
          <w:bCs/>
          <w:color w:val="FF0000"/>
          <w:kern w:val="0"/>
          <w:sz w:val="24"/>
          <w:szCs w:val="24"/>
          <w:lang w:eastAsia="pt-BR"/>
        </w:rPr>
        <w:t> OU </w:t>
      </w:r>
      <w:r w:rsidRPr="00D7244D">
        <w:rPr>
          <w:rFonts w:ascii="Times New Roman" w:hAnsi="Times New Roman"/>
          <w:color w:val="FF0000"/>
          <w:kern w:val="0"/>
          <w:sz w:val="24"/>
          <w:szCs w:val="24"/>
          <w:lang w:eastAsia="pt-BR"/>
        </w:rPr>
        <w:t>com vistas a evitar o prejuízo para o conjunto ou a perda de economia de escala.</w:t>
      </w:r>
    </w:p>
    <w:tbl>
      <w:tblPr>
        <w:tblW w:w="957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73"/>
      </w:tblGrid>
      <w:tr w:rsidR="009148D9" w:rsidRPr="00D7244D" w14:paraId="0765C738" w14:textId="77777777" w:rsidTr="001E0434">
        <w:trPr>
          <w:trHeight w:val="1343"/>
          <w:tblCellSpacing w:w="7" w:type="dxa"/>
          <w:jc w:val="center"/>
        </w:trPr>
        <w:tc>
          <w:tcPr>
            <w:tcW w:w="9545" w:type="dxa"/>
            <w:tcBorders>
              <w:top w:val="outset" w:sz="6" w:space="0" w:color="auto"/>
              <w:bottom w:val="outset" w:sz="6" w:space="0" w:color="auto"/>
            </w:tcBorders>
            <w:shd w:val="clear" w:color="auto" w:fill="FFFFCC"/>
            <w:vAlign w:val="center"/>
            <w:hideMark/>
          </w:tcPr>
          <w:p w14:paraId="465EA9F3"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w:t>
            </w:r>
            <w:r w:rsidRPr="00D7244D">
              <w:rPr>
                <w:rFonts w:ascii="Times New Roman" w:hAnsi="Times New Roman"/>
                <w:kern w:val="0"/>
                <w:sz w:val="24"/>
                <w:szCs w:val="24"/>
                <w:lang w:eastAsia="pt-BR"/>
              </w:rPr>
              <w:t>: </w:t>
            </w:r>
            <w:r w:rsidRPr="00D7244D">
              <w:rPr>
                <w:rFonts w:ascii="Times New Roman" w:hAnsi="Times New Roman"/>
                <w:b/>
                <w:bCs/>
                <w:kern w:val="0"/>
                <w:sz w:val="24"/>
                <w:szCs w:val="24"/>
                <w:lang w:eastAsia="pt-BR"/>
              </w:rPr>
              <w:t>Súmula nº 247 do TCU</w:t>
            </w:r>
            <w:r w:rsidRPr="00D7244D">
              <w:rPr>
                <w:rFonts w:ascii="Times New Roman" w:hAnsi="Times New Roman"/>
                <w:kern w:val="0"/>
                <w:sz w:val="24"/>
                <w:szCs w:val="24"/>
                <w:lang w:eastAsia="pt-BR"/>
              </w:rPr>
              <w:t> – “É obrigatória a admissão da adjudicação por item e não por preço global, nos editais das licitações para a contratação de obras, serviços, compras e alienações, cujo objeto seja divisível,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r w:rsidRPr="00D7244D">
              <w:rPr>
                <w:rFonts w:ascii="Times New Roman" w:hAnsi="Times New Roman"/>
                <w:b/>
                <w:bCs/>
                <w:kern w:val="0"/>
                <w:sz w:val="24"/>
                <w:szCs w:val="24"/>
                <w:lang w:eastAsia="pt-BR"/>
              </w:rPr>
              <w:t>Súmula nº 24 CSPGE/PI</w:t>
            </w:r>
            <w:r w:rsidRPr="00D7244D">
              <w:rPr>
                <w:rFonts w:ascii="Times New Roman" w:hAnsi="Times New Roman"/>
                <w:kern w:val="0"/>
                <w:sz w:val="24"/>
                <w:szCs w:val="24"/>
                <w:lang w:eastAsia="pt-BR"/>
              </w:rPr>
              <w:t> “É obrigatória a admissão da adjudicação por item e não por preço global, nos editais e cartas-convites das licitações para a contração de obras, serviços, compras e alienações, cujo objeto seja divisível, desde que não haja prejuízo para o conjunto ou complexo ou perda de economia de escala”.</w:t>
            </w:r>
          </w:p>
          <w:p w14:paraId="38AAB16F"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Art. 82, § 1º, da Lei n. 14.133/2021:</w:t>
            </w:r>
            <w:r w:rsidRPr="00D7244D">
              <w:rPr>
                <w:rFonts w:ascii="Times New Roman" w:hAnsi="Times New Roman"/>
                <w:kern w:val="0"/>
                <w:sz w:val="24"/>
                <w:szCs w:val="24"/>
                <w:lang w:eastAsia="pt-BR"/>
              </w:rPr>
              <w:t> O critério de julgamento de menor preço por grupo de itens somente poderá ser adotado quando for demonstrada a inviabilidade de se promover a adjudicação por item e for evidenciada a sua vantagem técnica e econômica, e o critério de aceitabilidade de preços unitários máximos deverão ser indicado no edital.</w:t>
            </w:r>
          </w:p>
        </w:tc>
      </w:tr>
    </w:tbl>
    <w:p w14:paraId="6698654A" w14:textId="77777777" w:rsidR="009148D9" w:rsidRDefault="009148D9" w:rsidP="009148D9">
      <w:pPr>
        <w:pStyle w:val="PargrafodaLista"/>
        <w:spacing w:line="276" w:lineRule="auto"/>
        <w:ind w:left="1134"/>
        <w:jc w:val="both"/>
        <w:rPr>
          <w:rFonts w:ascii="Times New Roman" w:hAnsi="Times New Roman"/>
          <w:kern w:val="0"/>
          <w:sz w:val="24"/>
          <w:szCs w:val="24"/>
          <w:lang w:eastAsia="pt-BR"/>
        </w:rPr>
      </w:pPr>
    </w:p>
    <w:p w14:paraId="7F72BFB1" w14:textId="77777777" w:rsidR="009148D9" w:rsidRPr="00D7244D"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o julgamento e classificação das propostas será adotado o critério de</w:t>
      </w:r>
      <w:r w:rsidRPr="00D7244D">
        <w:rPr>
          <w:rFonts w:ascii="Times New Roman" w:hAnsi="Times New Roman"/>
          <w:b/>
          <w:bCs/>
          <w:kern w:val="0"/>
          <w:sz w:val="24"/>
          <w:szCs w:val="24"/>
          <w:lang w:eastAsia="pt-BR"/>
        </w:rPr>
        <w:t xml:space="preserve"> </w:t>
      </w:r>
      <w:r w:rsidRPr="00D7244D">
        <w:rPr>
          <w:rFonts w:ascii="Times New Roman" w:hAnsi="Times New Roman"/>
          <w:b/>
          <w:bCs/>
          <w:color w:val="FF0000"/>
          <w:kern w:val="0"/>
          <w:sz w:val="24"/>
          <w:szCs w:val="24"/>
          <w:lang w:eastAsia="pt-BR"/>
        </w:rPr>
        <w:t>MENOR PREÇO (ou maior desconto)</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 xml:space="preserve">POR </w:t>
      </w:r>
      <w:r w:rsidRPr="003B2998">
        <w:rPr>
          <w:rFonts w:ascii="Times New Roman" w:hAnsi="Times New Roman"/>
          <w:b/>
          <w:bCs/>
          <w:color w:val="2E74B5" w:themeColor="accent5" w:themeShade="BF"/>
          <w:kern w:val="0"/>
          <w:sz w:val="24"/>
          <w:szCs w:val="24"/>
          <w:lang w:eastAsia="pt-BR"/>
        </w:rPr>
        <w:t>GRUPO</w:t>
      </w:r>
      <w:r w:rsidRPr="00D7244D">
        <w:rPr>
          <w:rFonts w:ascii="Times New Roman" w:hAnsi="Times New Roman"/>
          <w:kern w:val="0"/>
          <w:sz w:val="24"/>
          <w:szCs w:val="24"/>
          <w:lang w:eastAsia="pt-BR"/>
        </w:rPr>
        <w:t> (grupo de itens), observadas as condições definidas neste Termo de Referência.</w:t>
      </w:r>
    </w:p>
    <w:p w14:paraId="7030D425" w14:textId="77777777" w:rsidR="009148D9" w:rsidRPr="00D7244D" w:rsidRDefault="009148D9" w:rsidP="009148D9">
      <w:pPr>
        <w:shd w:val="clear" w:color="auto" w:fill="FFFF00"/>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1C47908C" w14:textId="77777777" w:rsidR="009148D9" w:rsidRPr="00D7244D"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julgamento das propostas será adotado o critério de </w:t>
      </w:r>
      <w:r w:rsidRPr="00D7244D">
        <w:rPr>
          <w:rFonts w:ascii="Times New Roman" w:hAnsi="Times New Roman"/>
          <w:b/>
          <w:bCs/>
          <w:color w:val="FF0000"/>
          <w:kern w:val="0"/>
          <w:sz w:val="24"/>
          <w:szCs w:val="24"/>
          <w:lang w:eastAsia="pt-BR"/>
        </w:rPr>
        <w:t>MENOR PREÇO (ou maior desconto)</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POR ITEM</w:t>
      </w:r>
      <w:r w:rsidRPr="00D7244D">
        <w:rPr>
          <w:rFonts w:ascii="Times New Roman" w:hAnsi="Times New Roman"/>
          <w:kern w:val="0"/>
          <w:sz w:val="24"/>
          <w:szCs w:val="24"/>
          <w:lang w:eastAsia="pt-BR"/>
        </w:rPr>
        <w:t>, observadas as condições definidas neste Termo de Referência, edital e anexos.</w:t>
      </w:r>
    </w:p>
    <w:p w14:paraId="0080FD24" w14:textId="77777777" w:rsidR="009148D9" w:rsidRPr="00D7244D" w:rsidRDefault="009148D9" w:rsidP="009148D9">
      <w:pPr>
        <w:shd w:val="clear" w:color="auto" w:fill="FFFF00"/>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6F7BFCFB" w14:textId="77777777" w:rsidR="009148D9" w:rsidRPr="00D7244D"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julgamento das propostas será adotado o critério de </w:t>
      </w:r>
      <w:r w:rsidRPr="00D7244D">
        <w:rPr>
          <w:rFonts w:ascii="Times New Roman" w:hAnsi="Times New Roman"/>
          <w:b/>
          <w:bCs/>
          <w:color w:val="FF0000"/>
          <w:kern w:val="0"/>
          <w:sz w:val="24"/>
          <w:szCs w:val="24"/>
          <w:lang w:eastAsia="pt-BR"/>
        </w:rPr>
        <w:t xml:space="preserve">MENOR PREÇO (ou maior desconto) POR </w:t>
      </w:r>
      <w:r w:rsidRPr="003B2998">
        <w:rPr>
          <w:rFonts w:ascii="Times New Roman" w:hAnsi="Times New Roman"/>
          <w:b/>
          <w:bCs/>
          <w:color w:val="2E74B5" w:themeColor="accent5" w:themeShade="BF"/>
          <w:kern w:val="0"/>
          <w:sz w:val="24"/>
          <w:szCs w:val="24"/>
          <w:lang w:eastAsia="pt-BR"/>
        </w:rPr>
        <w:t>GRUPO</w:t>
      </w:r>
      <w:r w:rsidRPr="00D7244D">
        <w:rPr>
          <w:rFonts w:ascii="Times New Roman" w:hAnsi="Times New Roman"/>
          <w:color w:val="FF0000"/>
          <w:kern w:val="0"/>
          <w:sz w:val="24"/>
          <w:szCs w:val="24"/>
          <w:lang w:eastAsia="pt-BR"/>
        </w:rPr>
        <w:t>,</w:t>
      </w:r>
      <w:r w:rsidRPr="00D7244D">
        <w:rPr>
          <w:rFonts w:ascii="Times New Roman" w:hAnsi="Times New Roman"/>
          <w:kern w:val="0"/>
          <w:sz w:val="24"/>
          <w:szCs w:val="24"/>
          <w:lang w:eastAsia="pt-BR"/>
        </w:rPr>
        <w:t xml:space="preserve"> para o(s) lotes: </w:t>
      </w:r>
      <w:r w:rsidRPr="00D7244D">
        <w:rPr>
          <w:rFonts w:ascii="Times New Roman" w:hAnsi="Times New Roman"/>
          <w:color w:val="FF0000"/>
          <w:kern w:val="0"/>
          <w:sz w:val="24"/>
          <w:szCs w:val="24"/>
          <w:lang w:eastAsia="pt-BR"/>
        </w:rPr>
        <w:t>[indicar os lotes]</w:t>
      </w:r>
      <w:r w:rsidRPr="00D7244D">
        <w:rPr>
          <w:rFonts w:ascii="Times New Roman" w:hAnsi="Times New Roman"/>
          <w:kern w:val="0"/>
          <w:sz w:val="24"/>
          <w:szCs w:val="24"/>
          <w:lang w:eastAsia="pt-BR"/>
        </w:rPr>
        <w:t> e </w:t>
      </w:r>
      <w:r w:rsidRPr="00D7244D">
        <w:rPr>
          <w:rFonts w:ascii="Times New Roman" w:hAnsi="Times New Roman"/>
          <w:b/>
          <w:bCs/>
          <w:color w:val="FF0000"/>
          <w:kern w:val="0"/>
          <w:sz w:val="24"/>
          <w:szCs w:val="24"/>
          <w:lang w:eastAsia="pt-BR"/>
        </w:rPr>
        <w:t>MENOR PREÇO (ou maior desconto)</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POR ITEM</w:t>
      </w:r>
      <w:r w:rsidRPr="00D7244D">
        <w:rPr>
          <w:rFonts w:ascii="Times New Roman" w:hAnsi="Times New Roman"/>
          <w:kern w:val="0"/>
          <w:sz w:val="24"/>
          <w:szCs w:val="24"/>
          <w:lang w:eastAsia="pt-BR"/>
        </w:rPr>
        <w:t>, para os itens: </w:t>
      </w:r>
      <w:r w:rsidRPr="00D7244D">
        <w:rPr>
          <w:rFonts w:ascii="Times New Roman" w:hAnsi="Times New Roman"/>
          <w:color w:val="FF0000"/>
          <w:kern w:val="0"/>
          <w:sz w:val="24"/>
          <w:szCs w:val="24"/>
          <w:lang w:eastAsia="pt-BR"/>
        </w:rPr>
        <w:t>[indicar os itens]</w:t>
      </w:r>
      <w:r w:rsidRPr="00D7244D">
        <w:rPr>
          <w:rFonts w:ascii="Times New Roman" w:hAnsi="Times New Roman"/>
          <w:kern w:val="0"/>
          <w:sz w:val="24"/>
          <w:szCs w:val="24"/>
          <w:lang w:eastAsia="pt-BR"/>
        </w:rPr>
        <w:t>, observadas as condições definidas neste Termo de Referência, edital e anexos.</w:t>
      </w:r>
    </w:p>
    <w:p w14:paraId="02A51E27"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13826BA7" w14:textId="77777777" w:rsidR="009148D9" w:rsidRPr="00D7244D" w:rsidRDefault="009148D9" w:rsidP="00DC07C2">
      <w:pPr>
        <w:pStyle w:val="PargrafodaLista"/>
        <w:numPr>
          <w:ilvl w:val="1"/>
          <w:numId w:val="9"/>
        </w:numPr>
        <w:shd w:val="clear" w:color="auto" w:fill="FFFF00"/>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Para julgamento das propostas será adotado o critério de </w:t>
      </w:r>
      <w:r w:rsidRPr="00D7244D">
        <w:rPr>
          <w:rFonts w:ascii="Times New Roman" w:hAnsi="Times New Roman"/>
          <w:b/>
          <w:bCs/>
          <w:color w:val="FF0000"/>
          <w:kern w:val="0"/>
          <w:sz w:val="24"/>
          <w:szCs w:val="24"/>
          <w:lang w:eastAsia="pt-BR"/>
        </w:rPr>
        <w:t>MENOR PREÇO (ou maior desconto)</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GLOBAL</w:t>
      </w:r>
      <w:r w:rsidRPr="00D7244D">
        <w:rPr>
          <w:rFonts w:ascii="Times New Roman" w:hAnsi="Times New Roman"/>
          <w:color w:val="FF0000"/>
          <w:kern w:val="0"/>
          <w:sz w:val="24"/>
          <w:szCs w:val="24"/>
          <w:lang w:eastAsia="pt-BR"/>
        </w:rPr>
        <w:t>.</w:t>
      </w:r>
    </w:p>
    <w:p w14:paraId="0D68A2F7"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A proposta comercial terá validade mínima de </w:t>
      </w:r>
      <w:r w:rsidRPr="00D7244D">
        <w:rPr>
          <w:rFonts w:ascii="Times New Roman" w:hAnsi="Times New Roman"/>
          <w:b/>
          <w:bCs/>
          <w:color w:val="FF0000"/>
          <w:kern w:val="0"/>
          <w:sz w:val="24"/>
          <w:szCs w:val="24"/>
          <w:lang w:eastAsia="pt-BR"/>
        </w:rPr>
        <w:t>[indicar a quantidade de dias] (Indicar por extenso a quantidade de dias) dias</w:t>
      </w:r>
      <w:r w:rsidRPr="00D7244D">
        <w:rPr>
          <w:rFonts w:ascii="Times New Roman" w:hAnsi="Times New Roman"/>
          <w:color w:val="FF0000"/>
          <w:kern w:val="0"/>
          <w:sz w:val="24"/>
          <w:szCs w:val="24"/>
          <w:lang w:eastAsia="pt-BR"/>
        </w:rPr>
        <w:t>,</w:t>
      </w:r>
      <w:r w:rsidRPr="00D7244D">
        <w:rPr>
          <w:rFonts w:ascii="Times New Roman" w:hAnsi="Times New Roman"/>
          <w:kern w:val="0"/>
          <w:sz w:val="24"/>
          <w:szCs w:val="24"/>
          <w:lang w:eastAsia="pt-BR"/>
        </w:rPr>
        <w:t xml:space="preserve"> a contar da data da abertura da sessão pública.</w:t>
      </w:r>
    </w:p>
    <w:p w14:paraId="0240982E" w14:textId="77777777" w:rsidR="009148D9" w:rsidRPr="00D7244D" w:rsidRDefault="009148D9" w:rsidP="009148D9">
      <w:pPr>
        <w:pStyle w:val="PargrafodaLista"/>
        <w:rPr>
          <w:rFonts w:ascii="Times New Roman" w:hAnsi="Times New Roman"/>
          <w:kern w:val="0"/>
          <w:sz w:val="24"/>
          <w:szCs w:val="24"/>
          <w:lang w:eastAsia="pt-BR"/>
        </w:rPr>
      </w:pPr>
      <w:r w:rsidRPr="00D7244D">
        <w:rPr>
          <w:rFonts w:ascii="Times New Roman" w:hAnsi="Times New Roman"/>
          <w:kern w:val="0"/>
          <w:sz w:val="24"/>
          <w:szCs w:val="24"/>
          <w:lang w:eastAsia="pt-BR"/>
        </w:rPr>
        <w:t>O licitante deverá consignar na proposta comercial o valor unitário/total do item/lote.</w:t>
      </w:r>
    </w:p>
    <w:p w14:paraId="031AC3E7" w14:textId="77777777" w:rsidR="009148D9" w:rsidRDefault="009148D9" w:rsidP="00DC07C2">
      <w:pPr>
        <w:pStyle w:val="PargrafodaLista"/>
        <w:numPr>
          <w:ilvl w:val="1"/>
          <w:numId w:val="9"/>
        </w:numPr>
        <w:spacing w:line="276" w:lineRule="auto"/>
        <w:ind w:left="1134" w:hanging="567"/>
        <w:jc w:val="both"/>
        <w:rPr>
          <w:rFonts w:ascii="Times New Roman" w:hAnsi="Times New Roman"/>
          <w:color w:val="FF0000"/>
          <w:kern w:val="0"/>
          <w:sz w:val="24"/>
          <w:szCs w:val="24"/>
          <w:lang w:eastAsia="pt-BR"/>
        </w:rPr>
      </w:pPr>
      <w:r w:rsidRPr="00253311">
        <w:rPr>
          <w:rFonts w:ascii="Times New Roman" w:hAnsi="Times New Roman"/>
          <w:color w:val="FF0000"/>
          <w:kern w:val="0"/>
          <w:sz w:val="24"/>
          <w:szCs w:val="24"/>
          <w:lang w:eastAsia="pt-BR"/>
        </w:rPr>
        <w:t xml:space="preserve">Não será exigida garantia de proposta como requisito de </w:t>
      </w:r>
      <w:proofErr w:type="spellStart"/>
      <w:r w:rsidRPr="00253311">
        <w:rPr>
          <w:rFonts w:ascii="Times New Roman" w:hAnsi="Times New Roman"/>
          <w:color w:val="FF0000"/>
          <w:kern w:val="0"/>
          <w:sz w:val="24"/>
          <w:szCs w:val="24"/>
          <w:lang w:eastAsia="pt-BR"/>
        </w:rPr>
        <w:t>pré</w:t>
      </w:r>
      <w:proofErr w:type="spellEnd"/>
      <w:r w:rsidRPr="00253311">
        <w:rPr>
          <w:rFonts w:ascii="Times New Roman" w:hAnsi="Times New Roman"/>
          <w:color w:val="FF0000"/>
          <w:kern w:val="0"/>
          <w:sz w:val="24"/>
          <w:szCs w:val="24"/>
          <w:lang w:eastAsia="pt-BR"/>
        </w:rPr>
        <w:t>-habilitação</w:t>
      </w:r>
    </w:p>
    <w:p w14:paraId="34DA2852" w14:textId="77777777" w:rsidR="009148D9" w:rsidRPr="003B2998" w:rsidRDefault="009148D9" w:rsidP="009148D9">
      <w:pPr>
        <w:pStyle w:val="PargrafodaLista"/>
        <w:spacing w:line="276" w:lineRule="auto"/>
        <w:ind w:left="1134"/>
        <w:jc w:val="center"/>
        <w:rPr>
          <w:rFonts w:ascii="Times New Roman" w:hAnsi="Times New Roman"/>
          <w:b/>
          <w:bCs/>
          <w:color w:val="FF0000"/>
          <w:kern w:val="0"/>
          <w:sz w:val="24"/>
          <w:szCs w:val="24"/>
          <w:lang w:eastAsia="pt-BR"/>
        </w:rPr>
      </w:pPr>
      <w:r w:rsidRPr="003B2998">
        <w:rPr>
          <w:rFonts w:ascii="Times New Roman" w:hAnsi="Times New Roman"/>
          <w:b/>
          <w:bCs/>
          <w:color w:val="FF0000"/>
          <w:kern w:val="0"/>
          <w:sz w:val="24"/>
          <w:szCs w:val="24"/>
          <w:lang w:eastAsia="pt-BR"/>
        </w:rPr>
        <w:t>OU</w:t>
      </w:r>
    </w:p>
    <w:p w14:paraId="3049B37E"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 xml:space="preserve">Será exigido o recolhimento de </w:t>
      </w:r>
      <w:r w:rsidRPr="003B2998">
        <w:rPr>
          <w:rFonts w:ascii="Times New Roman" w:hAnsi="Times New Roman"/>
          <w:color w:val="2E74B5" w:themeColor="accent5" w:themeShade="BF"/>
          <w:kern w:val="0"/>
          <w:sz w:val="24"/>
          <w:szCs w:val="24"/>
          <w:lang w:eastAsia="pt-BR"/>
        </w:rPr>
        <w:t>R$</w:t>
      </w:r>
      <w:proofErr w:type="gramStart"/>
      <w:r w:rsidRPr="00E628C9">
        <w:rPr>
          <w:rFonts w:ascii="Times New Roman" w:hAnsi="Times New Roman"/>
          <w:color w:val="FF0000"/>
          <w:kern w:val="0"/>
          <w:sz w:val="24"/>
          <w:szCs w:val="24"/>
          <w:lang w:eastAsia="pt-BR"/>
        </w:rPr>
        <w:t>.....</w:t>
      </w:r>
      <w:proofErr w:type="gramEnd"/>
      <w:r w:rsidRPr="00E628C9">
        <w:rPr>
          <w:rFonts w:ascii="Times New Roman" w:hAnsi="Times New Roman"/>
          <w:color w:val="FF0000"/>
          <w:kern w:val="0"/>
          <w:sz w:val="24"/>
          <w:szCs w:val="24"/>
          <w:lang w:eastAsia="pt-BR"/>
        </w:rPr>
        <w:t xml:space="preserve"> (reais) a título de garantia de proposta.</w:t>
      </w:r>
    </w:p>
    <w:p w14:paraId="1677B594"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lastRenderedPageBreak/>
        <w:t>A garantia de proposta será devolvida aos licitantes no prazo de 10 (dez) dias úteis, contado da assinatura do contrato ou da data em que for declarada fracassada a licitação.</w:t>
      </w:r>
    </w:p>
    <w:p w14:paraId="097DA937"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A garantia de proposta poderá ser prestada nas seguintes modalidades:</w:t>
      </w:r>
    </w:p>
    <w:p w14:paraId="34D14A2B"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a)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14:paraId="5C172D62"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b) seguro-garantia;</w:t>
      </w:r>
    </w:p>
    <w:p w14:paraId="0034F9AC" w14:textId="77777777" w:rsidR="009148D9" w:rsidRPr="00E628C9" w:rsidRDefault="009148D9" w:rsidP="009148D9">
      <w:pPr>
        <w:pStyle w:val="PargrafodaLista"/>
        <w:spacing w:line="276" w:lineRule="auto"/>
        <w:ind w:left="1134"/>
        <w:jc w:val="both"/>
        <w:rPr>
          <w:rFonts w:ascii="Times New Roman" w:hAnsi="Times New Roman"/>
          <w:color w:val="FF0000"/>
          <w:kern w:val="0"/>
          <w:sz w:val="24"/>
          <w:szCs w:val="24"/>
          <w:lang w:eastAsia="pt-BR"/>
        </w:rPr>
      </w:pPr>
      <w:r w:rsidRPr="00E628C9">
        <w:rPr>
          <w:rFonts w:ascii="Times New Roman" w:hAnsi="Times New Roman"/>
          <w:color w:val="FF0000"/>
          <w:kern w:val="0"/>
          <w:sz w:val="24"/>
          <w:szCs w:val="24"/>
          <w:lang w:eastAsia="pt-BR"/>
        </w:rPr>
        <w:t>c)fiança bancária emitida por banco ou instituição financeira devidamente autorizada a operar no País pelo Banco Central do Brasil.</w:t>
      </w:r>
    </w:p>
    <w:p w14:paraId="0B5AF2A3" w14:textId="77777777" w:rsidR="009148D9" w:rsidRPr="00253311" w:rsidRDefault="009148D9" w:rsidP="009148D9">
      <w:pPr>
        <w:pStyle w:val="PargrafodaLista"/>
        <w:spacing w:line="276" w:lineRule="auto"/>
        <w:ind w:left="1134"/>
        <w:jc w:val="both"/>
        <w:rPr>
          <w:rFonts w:ascii="Times New Roman" w:hAnsi="Times New Roman"/>
          <w:color w:val="FF0000"/>
          <w:kern w:val="0"/>
          <w:sz w:val="24"/>
          <w:szCs w:val="24"/>
          <w:lang w:eastAsia="pt-BR"/>
        </w:rPr>
      </w:pPr>
    </w:p>
    <w:p w14:paraId="3B1AFEB4"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A apresentação das propostas implica </w:t>
      </w:r>
      <w:r w:rsidRPr="00D7244D">
        <w:rPr>
          <w:rFonts w:ascii="Times New Roman" w:hAnsi="Times New Roman"/>
          <w:b/>
          <w:bCs/>
          <w:kern w:val="0"/>
          <w:sz w:val="24"/>
          <w:szCs w:val="24"/>
          <w:u w:val="single"/>
          <w:lang w:eastAsia="pt-BR"/>
        </w:rPr>
        <w:t>obrigatoriedade do cumprimento das disposições nelas contidas</w:t>
      </w:r>
      <w:r w:rsidRPr="00D7244D">
        <w:rPr>
          <w:rFonts w:ascii="Times New Roman" w:hAnsi="Times New Roman"/>
          <w:kern w:val="0"/>
          <w:sz w:val="24"/>
          <w:szCs w:val="24"/>
          <w:lang w:eastAsia="pt-BR"/>
        </w:rPr>
        <w:t>, em conformidade com o que dispõe este Termo de Referência, assumindo o proponente o compromisso de executar o objeto licitado nos seus termos.</w:t>
      </w:r>
    </w:p>
    <w:p w14:paraId="15AA1D0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Havendo eventual empate entre propostas ou lances, o critério de desempate será aquele previsto no </w:t>
      </w:r>
      <w:hyperlink r:id="rId39" w:anchor="art60" w:tgtFrame="_blank" w:history="1">
        <w:r w:rsidRPr="00D7244D">
          <w:rPr>
            <w:rFonts w:ascii="Times New Roman" w:hAnsi="Times New Roman"/>
            <w:color w:val="0000FF"/>
            <w:kern w:val="0"/>
            <w:sz w:val="24"/>
            <w:szCs w:val="24"/>
            <w:u w:val="single"/>
            <w:lang w:eastAsia="pt-BR"/>
          </w:rPr>
          <w:t>art. 60 da Lei nº 14.133, de 2021</w:t>
        </w:r>
      </w:hyperlink>
      <w:r w:rsidRPr="00D7244D">
        <w:rPr>
          <w:rFonts w:ascii="Times New Roman" w:hAnsi="Times New Roman"/>
          <w:kern w:val="0"/>
          <w:sz w:val="24"/>
          <w:szCs w:val="24"/>
          <w:lang w:eastAsia="pt-BR"/>
        </w:rPr>
        <w:t>, nesta ordem:</w:t>
      </w:r>
    </w:p>
    <w:p w14:paraId="3A28FB80"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disputa final, hipótese em que os licitantes empatados poderão apresentar nova proposta em ato contínuo à classificação;</w:t>
      </w:r>
    </w:p>
    <w:p w14:paraId="5145226F"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avaliação do desempenho contratual prévio dos licitantes, para a qual deverão preferencialmente ser utilizados registros cadastrais para efeito de atesto de cumprimento de obrigações previstas na Lei n. 14.133/2021;</w:t>
      </w:r>
    </w:p>
    <w:p w14:paraId="6446DA5B"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desenvolvimento pelo licitante de ações de equidade entre homens e mulheres no ambiente de trabalho, conforme regulamento;</w:t>
      </w:r>
    </w:p>
    <w:p w14:paraId="0D33D3B1" w14:textId="77777777" w:rsidR="009148D9" w:rsidRPr="00D7244D" w:rsidRDefault="009148D9" w:rsidP="00DC07C2">
      <w:pPr>
        <w:numPr>
          <w:ilvl w:val="0"/>
          <w:numId w:val="5"/>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desenvolvimento pelo licitante de programa de integridade, conforme orientações dos órgãos de controle.</w:t>
      </w:r>
    </w:p>
    <w:p w14:paraId="184CDFBB"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Persistindo o empate, será assegurada preferência, sucessivamente, aos bens e serviços produzidos ou prestados por:</w:t>
      </w:r>
    </w:p>
    <w:p w14:paraId="582FC5C6"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4" w:name="art60§1i"/>
      <w:bookmarkEnd w:id="14"/>
      <w:r w:rsidRPr="00D7244D">
        <w:rPr>
          <w:rFonts w:ascii="Times New Roman" w:hAnsi="Times New Roman"/>
          <w:kern w:val="0"/>
          <w:sz w:val="24"/>
          <w:szCs w:val="24"/>
          <w:lang w:eastAsia="pt-BR"/>
        </w:rPr>
        <w:t>empresas estabelecidas no território do Estado do Piauí;</w:t>
      </w:r>
    </w:p>
    <w:p w14:paraId="3BC329A7"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5" w:name="art60§1ii"/>
      <w:bookmarkEnd w:id="15"/>
      <w:r w:rsidRPr="00D7244D">
        <w:rPr>
          <w:rFonts w:ascii="Times New Roman" w:hAnsi="Times New Roman"/>
          <w:kern w:val="0"/>
          <w:sz w:val="24"/>
          <w:szCs w:val="24"/>
          <w:lang w:eastAsia="pt-BR"/>
        </w:rPr>
        <w:t>empresas brasileiras;</w:t>
      </w:r>
    </w:p>
    <w:p w14:paraId="4921B4A6"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bookmarkStart w:id="16" w:name="art60§1iii"/>
      <w:bookmarkEnd w:id="16"/>
      <w:r w:rsidRPr="00D7244D">
        <w:rPr>
          <w:rFonts w:ascii="Times New Roman" w:hAnsi="Times New Roman"/>
          <w:kern w:val="0"/>
          <w:sz w:val="24"/>
          <w:szCs w:val="24"/>
          <w:lang w:eastAsia="pt-BR"/>
        </w:rPr>
        <w:t>empresas que invistam em pesquisa e no desenvolvimento de tecnologia no País;</w:t>
      </w:r>
    </w:p>
    <w:p w14:paraId="2D1C1B00" w14:textId="77777777" w:rsidR="009148D9" w:rsidRPr="00D7244D" w:rsidRDefault="009148D9" w:rsidP="00DC07C2">
      <w:pPr>
        <w:numPr>
          <w:ilvl w:val="0"/>
          <w:numId w:val="6"/>
        </w:numPr>
        <w:spacing w:line="276" w:lineRule="auto"/>
        <w:ind w:left="1701"/>
        <w:jc w:val="both"/>
        <w:rPr>
          <w:rFonts w:ascii="Times New Roman" w:hAnsi="Times New Roman"/>
          <w:kern w:val="0"/>
          <w:sz w:val="24"/>
          <w:szCs w:val="24"/>
          <w:lang w:eastAsia="pt-BR"/>
        </w:rPr>
      </w:pPr>
      <w:r w:rsidRPr="00D7244D">
        <w:rPr>
          <w:rFonts w:ascii="Times New Roman" w:hAnsi="Times New Roman"/>
          <w:kern w:val="0"/>
          <w:sz w:val="24"/>
          <w:szCs w:val="24"/>
          <w:lang w:eastAsia="pt-BR"/>
        </w:rPr>
        <w:t>empresas que comprovem a prática de mitigação, nos termos da </w:t>
      </w:r>
      <w:hyperlink r:id="rId40" w:anchor=":~:text=LEI%20N%C2%BA%2012.187%2C%20DE%2029%20DE%20DEZEMBRO%20DE%202009.&amp;text=Institui%20a%20Pol%C3%ADtica%20Nacional%20sobre,PNMC%20e%20d%C3%A1%20outras%20provid%C3%AAncias." w:tgtFrame="_blank" w:history="1">
        <w:r w:rsidRPr="00D7244D">
          <w:rPr>
            <w:rFonts w:ascii="Times New Roman" w:hAnsi="Times New Roman"/>
            <w:color w:val="0000FF"/>
            <w:kern w:val="0"/>
            <w:sz w:val="24"/>
            <w:szCs w:val="24"/>
            <w:u w:val="single"/>
            <w:lang w:eastAsia="pt-BR"/>
          </w:rPr>
          <w:t>Lei nº 12.187, de 29 de dezembro de 2009</w:t>
        </w:r>
      </w:hyperlink>
    </w:p>
    <w:p w14:paraId="2A44888C" w14:textId="77777777" w:rsidR="009148D9" w:rsidRPr="00253311"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372F19">
        <w:rPr>
          <w:rFonts w:ascii="Times New Roman" w:hAnsi="Times New Roman"/>
          <w:kern w:val="0"/>
          <w:sz w:val="24"/>
          <w:szCs w:val="24"/>
          <w:shd w:val="clear" w:color="auto" w:fill="FFFF00"/>
          <w:lang w:eastAsia="pt-BR"/>
        </w:rPr>
        <w:t xml:space="preserve">O lance deverá ser ofertado pelo </w:t>
      </w:r>
      <w:r w:rsidRPr="00372F19">
        <w:rPr>
          <w:rFonts w:ascii="Times New Roman" w:hAnsi="Times New Roman"/>
          <w:b/>
          <w:bCs/>
          <w:kern w:val="0"/>
          <w:sz w:val="24"/>
          <w:szCs w:val="24"/>
          <w:shd w:val="clear" w:color="auto" w:fill="FFFF00"/>
          <w:lang w:eastAsia="pt-BR"/>
        </w:rPr>
        <w:t>valor unitário do Item</w:t>
      </w:r>
      <w:r w:rsidRPr="00E628C9">
        <w:rPr>
          <w:rFonts w:ascii="Times New Roman" w:hAnsi="Times New Roman"/>
          <w:b/>
          <w:bCs/>
          <w:kern w:val="0"/>
          <w:sz w:val="24"/>
          <w:szCs w:val="24"/>
          <w:lang w:eastAsia="pt-BR"/>
        </w:rPr>
        <w:t>.</w:t>
      </w:r>
      <w:r w:rsidRPr="00253311">
        <w:rPr>
          <w:rFonts w:ascii="Times New Roman" w:hAnsi="Times New Roman"/>
          <w:kern w:val="0"/>
          <w:sz w:val="24"/>
          <w:szCs w:val="24"/>
          <w:lang w:eastAsia="pt-BR"/>
        </w:rPr>
        <w:t xml:space="preserve"> </w:t>
      </w:r>
    </w:p>
    <w:p w14:paraId="22372985" w14:textId="77777777" w:rsidR="009148D9" w:rsidRPr="00D7244D" w:rsidRDefault="009148D9"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7244D">
        <w:rPr>
          <w:rFonts w:ascii="Times New Roman" w:hAnsi="Times New Roman"/>
          <w:kern w:val="0"/>
          <w:sz w:val="24"/>
          <w:szCs w:val="24"/>
          <w:lang w:eastAsia="pt-BR"/>
        </w:rPr>
        <w:t>O intervalo mínimo de diferença de valores ou percentuais entre os lances, que incidirá tanto em relação aos lances intermediários quanto em relação à proposta que cobrir a melhor oferta, deverá ser de </w:t>
      </w:r>
      <w:r w:rsidRPr="00D7244D">
        <w:rPr>
          <w:rFonts w:ascii="Times New Roman" w:hAnsi="Times New Roman"/>
          <w:b/>
          <w:bCs/>
          <w:color w:val="FF0000"/>
          <w:kern w:val="0"/>
          <w:sz w:val="24"/>
          <w:szCs w:val="24"/>
          <w:lang w:eastAsia="pt-BR"/>
        </w:rPr>
        <w:t>R$ [Indicar o Valor] (Indicar o valor por extenso).</w:t>
      </w:r>
    </w:p>
    <w:p w14:paraId="394091CF" w14:textId="2B9C666F" w:rsidR="009148D9" w:rsidRPr="00D7244D" w:rsidRDefault="00DC07C2"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C07C2">
        <w:rPr>
          <w:rFonts w:ascii="Times New Roman" w:hAnsi="Times New Roman"/>
          <w:color w:val="4472C4" w:themeColor="accent1"/>
          <w:kern w:val="0"/>
          <w:sz w:val="24"/>
          <w:szCs w:val="24"/>
          <w:lang w:eastAsia="pt-BR"/>
        </w:rPr>
        <w:lastRenderedPageBreak/>
        <w:t xml:space="preserve">O </w:t>
      </w:r>
      <w:r w:rsidR="009148D9" w:rsidRPr="00DC07C2">
        <w:rPr>
          <w:rFonts w:ascii="Times New Roman" w:hAnsi="Times New Roman"/>
          <w:color w:val="4472C4" w:themeColor="accent1"/>
          <w:kern w:val="0"/>
          <w:sz w:val="24"/>
          <w:szCs w:val="24"/>
          <w:lang w:eastAsia="pt-BR"/>
        </w:rPr>
        <w:t xml:space="preserve">envio de lances </w:t>
      </w:r>
      <w:r w:rsidRPr="00DC07C2">
        <w:rPr>
          <w:rFonts w:ascii="Times New Roman" w:hAnsi="Times New Roman"/>
          <w:color w:val="4472C4" w:themeColor="accent1"/>
          <w:kern w:val="0"/>
          <w:sz w:val="24"/>
          <w:szCs w:val="24"/>
          <w:lang w:eastAsia="pt-BR"/>
        </w:rPr>
        <w:t>no pregão eletrônico</w:t>
      </w:r>
      <w:r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será no</w:t>
      </w:r>
      <w:r>
        <w:rPr>
          <w:rFonts w:ascii="Times New Roman" w:hAnsi="Times New Roman"/>
          <w:color w:val="4472C4" w:themeColor="accent1"/>
          <w:kern w:val="0"/>
          <w:sz w:val="24"/>
          <w:szCs w:val="24"/>
          <w:lang w:eastAsia="pt-BR"/>
        </w:rPr>
        <w:t xml:space="preserve"> </w:t>
      </w:r>
      <w:r w:rsidR="009148D9" w:rsidRPr="00DC07C2">
        <w:rPr>
          <w:rFonts w:ascii="Times New Roman" w:hAnsi="Times New Roman"/>
          <w:color w:val="4472C4" w:themeColor="accent1"/>
          <w:kern w:val="0"/>
          <w:sz w:val="24"/>
          <w:szCs w:val="24"/>
          <w:lang w:eastAsia="pt-BR"/>
        </w:rPr>
        <w:t>modo de disputa </w:t>
      </w:r>
      <w:r w:rsidR="009148D9" w:rsidRPr="00DC07C2">
        <w:rPr>
          <w:rFonts w:ascii="Times New Roman" w:hAnsi="Times New Roman"/>
          <w:color w:val="FF0000"/>
          <w:kern w:val="0"/>
          <w:sz w:val="24"/>
          <w:szCs w:val="24"/>
          <w:lang w:eastAsia="pt-BR"/>
        </w:rPr>
        <w:t>“aberto”</w:t>
      </w:r>
      <w:r w:rsidR="009148D9" w:rsidRPr="00DC07C2">
        <w:rPr>
          <w:rFonts w:ascii="Times New Roman" w:hAnsi="Times New Roman"/>
          <w:color w:val="4472C4" w:themeColor="accent1"/>
          <w:kern w:val="0"/>
          <w:sz w:val="24"/>
          <w:szCs w:val="24"/>
          <w:lang w:eastAsia="pt-BR"/>
        </w:rPr>
        <w:t>,</w:t>
      </w:r>
      <w:r w:rsidRPr="00DC07C2">
        <w:rPr>
          <w:rFonts w:ascii="Times New Roman" w:hAnsi="Times New Roman"/>
          <w:color w:val="4472C4" w:themeColor="accent1"/>
          <w:kern w:val="0"/>
          <w:sz w:val="24"/>
          <w:szCs w:val="24"/>
          <w:lang w:eastAsia="pt-BR"/>
        </w:rPr>
        <w:t xml:space="preserve"> onde </w:t>
      </w:r>
      <w:r w:rsidR="009148D9" w:rsidRPr="00DC07C2">
        <w:rPr>
          <w:rFonts w:ascii="Times New Roman" w:hAnsi="Times New Roman"/>
          <w:color w:val="4472C4" w:themeColor="accent1"/>
          <w:kern w:val="0"/>
          <w:sz w:val="24"/>
          <w:szCs w:val="24"/>
          <w:lang w:eastAsia="pt-BR"/>
        </w:rPr>
        <w:t>os licitantes apresentarão lances públicos e sucessivos, com prorrogações</w:t>
      </w:r>
      <w:r w:rsidR="009148D9" w:rsidRPr="00D7244D">
        <w:rPr>
          <w:rFonts w:ascii="Times New Roman" w:hAnsi="Times New Roman"/>
          <w:kern w:val="0"/>
          <w:sz w:val="24"/>
          <w:szCs w:val="24"/>
          <w:lang w:eastAsia="pt-BR"/>
        </w:rPr>
        <w:t>.</w:t>
      </w:r>
    </w:p>
    <w:p w14:paraId="7D267867"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47E60F30" w14:textId="35012528" w:rsidR="009148D9" w:rsidRPr="00D7244D" w:rsidRDefault="00DC07C2" w:rsidP="00DC07C2">
      <w:pPr>
        <w:pStyle w:val="PargrafodaLista"/>
        <w:numPr>
          <w:ilvl w:val="1"/>
          <w:numId w:val="9"/>
        </w:numPr>
        <w:spacing w:line="276" w:lineRule="auto"/>
        <w:ind w:left="1134" w:hanging="567"/>
        <w:jc w:val="both"/>
        <w:rPr>
          <w:rFonts w:ascii="Times New Roman" w:hAnsi="Times New Roman"/>
          <w:kern w:val="0"/>
          <w:sz w:val="24"/>
          <w:szCs w:val="24"/>
          <w:lang w:eastAsia="pt-BR"/>
        </w:rPr>
      </w:pPr>
      <w:r w:rsidRPr="00DC07C2">
        <w:rPr>
          <w:rFonts w:ascii="Times New Roman" w:hAnsi="Times New Roman"/>
          <w:color w:val="4472C4" w:themeColor="accent1"/>
          <w:kern w:val="0"/>
          <w:sz w:val="24"/>
          <w:szCs w:val="24"/>
          <w:lang w:eastAsia="pt-BR"/>
        </w:rPr>
        <w:t>O e</w:t>
      </w:r>
      <w:r w:rsidR="009148D9" w:rsidRPr="00DC07C2">
        <w:rPr>
          <w:rFonts w:ascii="Times New Roman" w:hAnsi="Times New Roman"/>
          <w:color w:val="4472C4" w:themeColor="accent1"/>
          <w:kern w:val="0"/>
          <w:sz w:val="24"/>
          <w:szCs w:val="24"/>
          <w:lang w:eastAsia="pt-BR"/>
        </w:rPr>
        <w:t>nvio de lances no pregão eletrônico</w:t>
      </w:r>
      <w:r w:rsidRPr="00DC07C2">
        <w:rPr>
          <w:rFonts w:ascii="Times New Roman" w:hAnsi="Times New Roman"/>
          <w:color w:val="4472C4" w:themeColor="accent1"/>
          <w:kern w:val="0"/>
          <w:sz w:val="24"/>
          <w:szCs w:val="24"/>
          <w:lang w:eastAsia="pt-BR"/>
        </w:rPr>
        <w:t xml:space="preserve"> será no </w:t>
      </w:r>
      <w:r w:rsidR="009148D9" w:rsidRPr="00DC07C2">
        <w:rPr>
          <w:rFonts w:ascii="Times New Roman" w:hAnsi="Times New Roman"/>
          <w:color w:val="4472C4" w:themeColor="accent1"/>
          <w:kern w:val="0"/>
          <w:sz w:val="24"/>
          <w:szCs w:val="24"/>
          <w:lang w:eastAsia="pt-BR"/>
        </w:rPr>
        <w:t>modo de disputa</w:t>
      </w:r>
      <w:r w:rsidR="009148D9" w:rsidRPr="00D7244D">
        <w:rPr>
          <w:rFonts w:ascii="Times New Roman" w:hAnsi="Times New Roman"/>
          <w:kern w:val="0"/>
          <w:sz w:val="24"/>
          <w:szCs w:val="24"/>
          <w:lang w:eastAsia="pt-BR"/>
        </w:rPr>
        <w:t> </w:t>
      </w:r>
      <w:r w:rsidR="009148D9" w:rsidRPr="00D7244D">
        <w:rPr>
          <w:rFonts w:ascii="Times New Roman" w:hAnsi="Times New Roman"/>
          <w:color w:val="FF0000"/>
          <w:kern w:val="0"/>
          <w:sz w:val="24"/>
          <w:szCs w:val="24"/>
          <w:lang w:eastAsia="pt-BR"/>
        </w:rPr>
        <w:t>“aberto e fechado”</w:t>
      </w:r>
      <w:r w:rsidR="009148D9"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 xml:space="preserve">onde </w:t>
      </w:r>
      <w:r w:rsidR="009148D9" w:rsidRPr="00DC07C2">
        <w:rPr>
          <w:rFonts w:ascii="Times New Roman" w:hAnsi="Times New Roman"/>
          <w:color w:val="4472C4" w:themeColor="accent1"/>
          <w:kern w:val="0"/>
          <w:sz w:val="24"/>
          <w:szCs w:val="24"/>
          <w:lang w:eastAsia="pt-BR"/>
        </w:rPr>
        <w:t>os licitantes apresentarão lances públicos e sucessivos, com lance final e fechado.</w:t>
      </w:r>
    </w:p>
    <w:p w14:paraId="5FE1835F"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6979B2AB" w14:textId="2DC77C5C" w:rsidR="009148D9" w:rsidRPr="00DC07C2" w:rsidRDefault="00DC07C2" w:rsidP="00DC07C2">
      <w:pPr>
        <w:pStyle w:val="PargrafodaLista"/>
        <w:numPr>
          <w:ilvl w:val="1"/>
          <w:numId w:val="9"/>
        </w:numPr>
        <w:spacing w:line="276" w:lineRule="auto"/>
        <w:ind w:left="1134" w:hanging="567"/>
        <w:jc w:val="both"/>
        <w:rPr>
          <w:rFonts w:ascii="Times New Roman" w:hAnsi="Times New Roman"/>
          <w:color w:val="4472C4" w:themeColor="accent1"/>
          <w:kern w:val="0"/>
          <w:sz w:val="24"/>
          <w:szCs w:val="24"/>
          <w:lang w:eastAsia="pt-BR"/>
        </w:rPr>
      </w:pPr>
      <w:r w:rsidRPr="00DC07C2">
        <w:rPr>
          <w:rFonts w:ascii="Times New Roman" w:hAnsi="Times New Roman"/>
          <w:color w:val="4472C4" w:themeColor="accent1"/>
          <w:kern w:val="0"/>
          <w:sz w:val="24"/>
          <w:szCs w:val="24"/>
          <w:lang w:eastAsia="pt-BR"/>
        </w:rPr>
        <w:t>O</w:t>
      </w:r>
      <w:r w:rsidR="009148D9" w:rsidRPr="00DC07C2">
        <w:rPr>
          <w:rFonts w:ascii="Times New Roman" w:hAnsi="Times New Roman"/>
          <w:color w:val="4472C4" w:themeColor="accent1"/>
          <w:kern w:val="0"/>
          <w:sz w:val="24"/>
          <w:szCs w:val="24"/>
          <w:lang w:eastAsia="pt-BR"/>
        </w:rPr>
        <w:t xml:space="preserve"> envio de lances no pregão eletrônico </w:t>
      </w:r>
      <w:r w:rsidRPr="00DC07C2">
        <w:rPr>
          <w:rFonts w:ascii="Times New Roman" w:hAnsi="Times New Roman"/>
          <w:color w:val="4472C4" w:themeColor="accent1"/>
          <w:kern w:val="0"/>
          <w:sz w:val="24"/>
          <w:szCs w:val="24"/>
          <w:lang w:eastAsia="pt-BR"/>
        </w:rPr>
        <w:t>será n</w:t>
      </w:r>
      <w:r w:rsidR="009148D9" w:rsidRPr="00DC07C2">
        <w:rPr>
          <w:rFonts w:ascii="Times New Roman" w:hAnsi="Times New Roman"/>
          <w:color w:val="4472C4" w:themeColor="accent1"/>
          <w:kern w:val="0"/>
          <w:sz w:val="24"/>
          <w:szCs w:val="24"/>
          <w:lang w:eastAsia="pt-BR"/>
        </w:rPr>
        <w:t>o modo de disputa </w:t>
      </w:r>
      <w:r w:rsidR="009148D9" w:rsidRPr="00D7244D">
        <w:rPr>
          <w:rFonts w:ascii="Times New Roman" w:hAnsi="Times New Roman"/>
          <w:color w:val="FF0000"/>
          <w:kern w:val="0"/>
          <w:sz w:val="24"/>
          <w:szCs w:val="24"/>
          <w:lang w:eastAsia="pt-BR"/>
        </w:rPr>
        <w:t>“fechado e aberto”</w:t>
      </w:r>
      <w:r w:rsidR="009148D9" w:rsidRPr="00D7244D">
        <w:rPr>
          <w:rFonts w:ascii="Times New Roman" w:hAnsi="Times New Roman"/>
          <w:kern w:val="0"/>
          <w:sz w:val="24"/>
          <w:szCs w:val="24"/>
          <w:lang w:eastAsia="pt-BR"/>
        </w:rPr>
        <w:t xml:space="preserve">, </w:t>
      </w:r>
      <w:r w:rsidRPr="00DC07C2">
        <w:rPr>
          <w:rFonts w:ascii="Times New Roman" w:hAnsi="Times New Roman"/>
          <w:color w:val="4472C4" w:themeColor="accent1"/>
          <w:kern w:val="0"/>
          <w:sz w:val="24"/>
          <w:szCs w:val="24"/>
          <w:lang w:eastAsia="pt-BR"/>
        </w:rPr>
        <w:t xml:space="preserve">onde </w:t>
      </w:r>
      <w:r w:rsidR="009148D9" w:rsidRPr="00DC07C2">
        <w:rPr>
          <w:rFonts w:ascii="Times New Roman" w:hAnsi="Times New Roman"/>
          <w:color w:val="4472C4" w:themeColor="accent1"/>
          <w:kern w:val="0"/>
          <w:sz w:val="24"/>
          <w:szCs w:val="24"/>
          <w:lang w:eastAsia="pt-BR"/>
        </w:rPr>
        <w:t>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tbl>
      <w:tblPr>
        <w:tblStyle w:val="Tabelacomgrade"/>
        <w:tblW w:w="0" w:type="auto"/>
        <w:tblInd w:w="1134" w:type="dxa"/>
        <w:tblLook w:val="04A0" w:firstRow="1" w:lastRow="0" w:firstColumn="1" w:lastColumn="0" w:noHBand="0" w:noVBand="1"/>
      </w:tblPr>
      <w:tblGrid>
        <w:gridCol w:w="7360"/>
      </w:tblGrid>
      <w:tr w:rsidR="009148D9" w14:paraId="401720BE" w14:textId="77777777" w:rsidTr="001E0434">
        <w:trPr>
          <w:trHeight w:val="4031"/>
        </w:trPr>
        <w:tc>
          <w:tcPr>
            <w:tcW w:w="9061" w:type="dxa"/>
            <w:shd w:val="clear" w:color="auto" w:fill="FFFFCC"/>
          </w:tcPr>
          <w:p w14:paraId="7CC83E2E"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r w:rsidRPr="003B2998">
              <w:rPr>
                <w:rFonts w:ascii="Times New Roman" w:hAnsi="Times New Roman" w:cs="Times New Roman"/>
                <w:b/>
                <w:bCs/>
                <w:color w:val="2E74B5" w:themeColor="accent5" w:themeShade="BF"/>
                <w:sz w:val="24"/>
                <w:szCs w:val="24"/>
              </w:rPr>
              <w:t>Nota Explicativa 1:</w:t>
            </w:r>
            <w:r w:rsidRPr="003B2998">
              <w:rPr>
                <w:rFonts w:ascii="Times New Roman" w:hAnsi="Times New Roman" w:cs="Times New Roman"/>
                <w:color w:val="2E74B5" w:themeColor="accent5" w:themeShade="BF"/>
                <w:sz w:val="24"/>
                <w:szCs w:val="24"/>
              </w:rPr>
              <w:t xml:space="preserve"> No modo de disputa aberto, a fase de lances resume-se à disputa eletrônica, realizada por todos os licitantes, oportunidade em que os valores são registrados pelo sistema e o lance vencedor é aquele que contém o melhor preço, obtido no encerramento da sessão.</w:t>
            </w:r>
          </w:p>
          <w:p w14:paraId="290678C7"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p>
          <w:p w14:paraId="78542CC0"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r w:rsidRPr="003B2998">
              <w:rPr>
                <w:rFonts w:ascii="Times New Roman" w:hAnsi="Times New Roman" w:cs="Times New Roman"/>
                <w:b/>
                <w:bCs/>
                <w:color w:val="2E74B5" w:themeColor="accent5" w:themeShade="BF"/>
                <w:sz w:val="24"/>
                <w:szCs w:val="24"/>
              </w:rPr>
              <w:t>Nota Explicativa 2:</w:t>
            </w:r>
            <w:r w:rsidRPr="003B2998">
              <w:rPr>
                <w:rFonts w:ascii="Times New Roman" w:hAnsi="Times New Roman" w:cs="Times New Roman"/>
                <w:color w:val="2E74B5" w:themeColor="accent5" w:themeShade="BF"/>
                <w:sz w:val="24"/>
                <w:szCs w:val="24"/>
              </w:rPr>
              <w:t xml:space="preserve"> No modo de disputa “aberto e fechado” inicia-se com a apresentação de lances sucessivos (fase aberta), com envio final de um lance fechado pelos detentores das melhores propostas da fase aberta (fase fechada).</w:t>
            </w:r>
          </w:p>
          <w:p w14:paraId="5045C65F" w14:textId="77777777" w:rsidR="009148D9" w:rsidRPr="003B2998" w:rsidRDefault="009148D9" w:rsidP="001E0434">
            <w:pPr>
              <w:pStyle w:val="Textodecomentrio"/>
              <w:jc w:val="both"/>
              <w:rPr>
                <w:rFonts w:ascii="Times New Roman" w:hAnsi="Times New Roman" w:cs="Times New Roman"/>
                <w:color w:val="2E74B5" w:themeColor="accent5" w:themeShade="BF"/>
                <w:sz w:val="24"/>
                <w:szCs w:val="24"/>
              </w:rPr>
            </w:pPr>
          </w:p>
          <w:p w14:paraId="1FD817D6" w14:textId="77777777" w:rsidR="009148D9" w:rsidRPr="003B2998" w:rsidRDefault="009148D9" w:rsidP="001E0434">
            <w:pPr>
              <w:pStyle w:val="Textodecomentrio"/>
              <w:jc w:val="both"/>
              <w:rPr>
                <w:rFonts w:ascii="Times New Roman" w:hAnsi="Times New Roman" w:cs="Times New Roman"/>
                <w:sz w:val="24"/>
                <w:szCs w:val="24"/>
              </w:rPr>
            </w:pPr>
            <w:r w:rsidRPr="003B2998">
              <w:rPr>
                <w:rFonts w:ascii="Times New Roman" w:hAnsi="Times New Roman" w:cs="Times New Roman"/>
                <w:b/>
                <w:bCs/>
                <w:color w:val="2E74B5" w:themeColor="accent5" w:themeShade="BF"/>
                <w:sz w:val="24"/>
                <w:szCs w:val="24"/>
              </w:rPr>
              <w:t>Nota Explicativa 3:</w:t>
            </w:r>
            <w:r w:rsidRPr="003B2998">
              <w:rPr>
                <w:rFonts w:ascii="Times New Roman" w:hAnsi="Times New Roman" w:cs="Times New Roman"/>
                <w:color w:val="2E74B5" w:themeColor="accent5" w:themeShade="BF"/>
                <w:sz w:val="24"/>
                <w:szCs w:val="24"/>
              </w:rPr>
              <w:t xml:space="preserve"> No modo de disputa fechado e aberto, serão classificados para a etapa da disputa aberta, com a apresentação de lances públicos e sucessivos, o licitante que apresentou a proposta de menor preço ou maior percentual de desconto e os das propostas até 10% (dez por cento) superiores ou inferiores àquela, conforme o critério de julgamento adotado.</w:t>
            </w:r>
          </w:p>
        </w:tc>
      </w:tr>
    </w:tbl>
    <w:p w14:paraId="524FF51C" w14:textId="77777777" w:rsidR="009148D9" w:rsidRPr="003B2998" w:rsidRDefault="009148D9" w:rsidP="009148D9">
      <w:pPr>
        <w:spacing w:line="276" w:lineRule="auto"/>
        <w:jc w:val="both"/>
        <w:rPr>
          <w:rFonts w:ascii="Times New Roman" w:hAnsi="Times New Roman"/>
          <w:kern w:val="0"/>
          <w:sz w:val="24"/>
          <w:szCs w:val="24"/>
          <w:lang w:eastAsia="pt-BR"/>
        </w:rPr>
      </w:pPr>
    </w:p>
    <w:p w14:paraId="607B1613" w14:textId="77777777" w:rsidR="009148D9" w:rsidRPr="00D7244D"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C73EEA">
        <w:rPr>
          <w:rFonts w:ascii="Times New Roman" w:hAnsi="Times New Roman"/>
          <w:b/>
          <w:bCs/>
          <w:kern w:val="0"/>
          <w:sz w:val="24"/>
          <w:szCs w:val="24"/>
          <w:lang w:eastAsia="pt-BR"/>
        </w:rPr>
        <w:t xml:space="preserve">DO </w:t>
      </w:r>
      <w:r w:rsidRPr="00D7244D">
        <w:rPr>
          <w:rFonts w:ascii="Times New Roman" w:hAnsi="Times New Roman"/>
          <w:b/>
          <w:bCs/>
          <w:kern w:val="0"/>
          <w:sz w:val="24"/>
          <w:szCs w:val="24"/>
          <w:lang w:eastAsia="pt-BR"/>
        </w:rPr>
        <w:t>MODELO DE EXECUÇÃO DO OBJETO:</w:t>
      </w:r>
    </w:p>
    <w:p w14:paraId="6D0ACE1C" w14:textId="77777777" w:rsidR="009148D9" w:rsidRPr="003B2998"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3B2998">
        <w:rPr>
          <w:rFonts w:ascii="Times New Roman" w:hAnsi="Times New Roman"/>
          <w:b/>
          <w:bCs/>
          <w:kern w:val="0"/>
          <w:sz w:val="24"/>
          <w:szCs w:val="24"/>
          <w:lang w:eastAsia="pt-BR"/>
        </w:rPr>
        <w:t>Do local, prazo e condições de entrega</w:t>
      </w:r>
    </w:p>
    <w:p w14:paraId="52920800"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 prazo de entrega dos bens é de </w:t>
      </w:r>
      <w:r w:rsidRPr="00D7244D">
        <w:rPr>
          <w:rFonts w:ascii="Times New Roman" w:hAnsi="Times New Roman"/>
          <w:color w:val="FF0000"/>
          <w:kern w:val="0"/>
          <w:sz w:val="24"/>
          <w:szCs w:val="24"/>
          <w:lang w:eastAsia="pt-BR"/>
        </w:rPr>
        <w:t>[Indicar o prazo]</w:t>
      </w:r>
      <w:r w:rsidRPr="00D7244D">
        <w:rPr>
          <w:rFonts w:ascii="Times New Roman" w:hAnsi="Times New Roman"/>
          <w:kern w:val="0"/>
          <w:sz w:val="24"/>
          <w:szCs w:val="24"/>
          <w:lang w:eastAsia="pt-BR"/>
        </w:rPr>
        <w:t> dias, contados do(a</w:t>
      </w:r>
      <w:proofErr w:type="gramStart"/>
      <w:r w:rsidRPr="00D7244D">
        <w:rPr>
          <w:rFonts w:ascii="Times New Roman" w:hAnsi="Times New Roman"/>
          <w:kern w:val="0"/>
          <w:sz w:val="24"/>
          <w:szCs w:val="24"/>
          <w:lang w:eastAsia="pt-BR"/>
        </w:rPr>
        <w:t>)</w:t>
      </w:r>
      <w:r w:rsidRPr="00D7244D">
        <w:rPr>
          <w:rFonts w:ascii="Times New Roman" w:hAnsi="Times New Roman"/>
          <w:color w:val="FF0000"/>
          <w:kern w:val="0"/>
          <w:sz w:val="24"/>
          <w:szCs w:val="24"/>
          <w:lang w:eastAsia="pt-BR"/>
        </w:rPr>
        <w:t>[</w:t>
      </w:r>
      <w:proofErr w:type="gramEnd"/>
      <w:r w:rsidRPr="00D7244D">
        <w:rPr>
          <w:rFonts w:ascii="Times New Roman" w:hAnsi="Times New Roman"/>
          <w:color w:val="FF0000"/>
          <w:kern w:val="0"/>
          <w:sz w:val="24"/>
          <w:szCs w:val="24"/>
          <w:lang w:eastAsia="pt-BR"/>
        </w:rPr>
        <w:t>Indicar o instrumento: Contrato/Nota de empenho]</w:t>
      </w:r>
      <w:r w:rsidRPr="00D7244D">
        <w:rPr>
          <w:rFonts w:ascii="Times New Roman" w:hAnsi="Times New Roman"/>
          <w:kern w:val="0"/>
          <w:sz w:val="24"/>
          <w:szCs w:val="24"/>
          <w:lang w:eastAsia="pt-BR"/>
        </w:rPr>
        <w:t xml:space="preserve">, em </w:t>
      </w:r>
      <w:r w:rsidRPr="00D7244D">
        <w:rPr>
          <w:rFonts w:ascii="Times New Roman" w:hAnsi="Times New Roman"/>
          <w:color w:val="FF0000"/>
          <w:kern w:val="0"/>
          <w:sz w:val="24"/>
          <w:szCs w:val="24"/>
          <w:lang w:eastAsia="pt-BR"/>
        </w:rPr>
        <w:t>remessa única ou parcelada</w:t>
      </w:r>
      <w:r w:rsidRPr="00D7244D">
        <w:rPr>
          <w:rFonts w:ascii="Times New Roman" w:hAnsi="Times New Roman"/>
          <w:kern w:val="0"/>
          <w:sz w:val="24"/>
          <w:szCs w:val="24"/>
          <w:lang w:eastAsia="pt-BR"/>
        </w:rPr>
        <w:t>.</w:t>
      </w:r>
    </w:p>
    <w:p w14:paraId="4749BD58"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72F1AE89"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As parcelas serão entregues nos seguintes prazos e condições: </w:t>
      </w:r>
      <w:r w:rsidRPr="00D7244D">
        <w:rPr>
          <w:rFonts w:ascii="Times New Roman" w:hAnsi="Times New Roman"/>
          <w:b/>
          <w:bCs/>
          <w:color w:val="FF0000"/>
          <w:kern w:val="0"/>
          <w:sz w:val="24"/>
          <w:szCs w:val="24"/>
          <w:lang w:eastAsia="pt-BR"/>
        </w:rPr>
        <w:t>[ADOTAR ESSA REDAÇÃO CASO SE TRATE DE ENTREGA PARCELADA]</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3178"/>
        <w:gridCol w:w="4187"/>
      </w:tblGrid>
      <w:tr w:rsidR="009148D9" w:rsidRPr="00D7244D" w14:paraId="546F088D" w14:textId="77777777" w:rsidTr="001E0434">
        <w:trPr>
          <w:tblCellSpacing w:w="0" w:type="dxa"/>
        </w:trPr>
        <w:tc>
          <w:tcPr>
            <w:tcW w:w="1129" w:type="dxa"/>
            <w:vAlign w:val="center"/>
            <w:hideMark/>
          </w:tcPr>
          <w:p w14:paraId="3CC1A83E"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Parcela</w:t>
            </w:r>
          </w:p>
        </w:tc>
        <w:tc>
          <w:tcPr>
            <w:tcW w:w="3178" w:type="dxa"/>
            <w:vAlign w:val="center"/>
            <w:hideMark/>
          </w:tcPr>
          <w:p w14:paraId="6C6030B5"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Composição da parcela</w:t>
            </w:r>
          </w:p>
        </w:tc>
        <w:tc>
          <w:tcPr>
            <w:tcW w:w="0" w:type="auto"/>
            <w:vAlign w:val="center"/>
            <w:hideMark/>
          </w:tcPr>
          <w:p w14:paraId="413975F5"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Prazo de entrega</w:t>
            </w:r>
          </w:p>
        </w:tc>
      </w:tr>
      <w:tr w:rsidR="009148D9" w:rsidRPr="00D7244D" w14:paraId="70477649" w14:textId="77777777" w:rsidTr="001E0434">
        <w:trPr>
          <w:tblCellSpacing w:w="0" w:type="dxa"/>
        </w:trPr>
        <w:tc>
          <w:tcPr>
            <w:tcW w:w="1129" w:type="dxa"/>
            <w:vAlign w:val="center"/>
            <w:hideMark/>
          </w:tcPr>
          <w:p w14:paraId="42A7ED2D"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1ª</w:t>
            </w:r>
          </w:p>
        </w:tc>
        <w:tc>
          <w:tcPr>
            <w:tcW w:w="3178" w:type="dxa"/>
            <w:vAlign w:val="center"/>
            <w:hideMark/>
          </w:tcPr>
          <w:p w14:paraId="3F42BD0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7E5A7BA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3F9EB3F8" w14:textId="77777777" w:rsidTr="001E0434">
        <w:trPr>
          <w:tblCellSpacing w:w="0" w:type="dxa"/>
        </w:trPr>
        <w:tc>
          <w:tcPr>
            <w:tcW w:w="1129" w:type="dxa"/>
            <w:vAlign w:val="center"/>
            <w:hideMark/>
          </w:tcPr>
          <w:p w14:paraId="0091B1A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2ª</w:t>
            </w:r>
          </w:p>
        </w:tc>
        <w:tc>
          <w:tcPr>
            <w:tcW w:w="3178" w:type="dxa"/>
            <w:vAlign w:val="center"/>
            <w:hideMark/>
          </w:tcPr>
          <w:p w14:paraId="70591321"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243FD36D"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16457266" w14:textId="77777777" w:rsidTr="001E0434">
        <w:trPr>
          <w:tblCellSpacing w:w="0" w:type="dxa"/>
        </w:trPr>
        <w:tc>
          <w:tcPr>
            <w:tcW w:w="1129" w:type="dxa"/>
            <w:vAlign w:val="center"/>
            <w:hideMark/>
          </w:tcPr>
          <w:p w14:paraId="466B13D9"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lastRenderedPageBreak/>
              <w:t>3ª</w:t>
            </w:r>
          </w:p>
        </w:tc>
        <w:tc>
          <w:tcPr>
            <w:tcW w:w="3178" w:type="dxa"/>
            <w:vAlign w:val="center"/>
            <w:hideMark/>
          </w:tcPr>
          <w:p w14:paraId="14E5551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3CFECE84"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r w:rsidR="009148D9" w:rsidRPr="00D7244D" w14:paraId="4BE14166" w14:textId="77777777" w:rsidTr="001E0434">
        <w:trPr>
          <w:tblCellSpacing w:w="0" w:type="dxa"/>
        </w:trPr>
        <w:tc>
          <w:tcPr>
            <w:tcW w:w="1129" w:type="dxa"/>
            <w:vAlign w:val="center"/>
            <w:hideMark/>
          </w:tcPr>
          <w:p w14:paraId="014281BC"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w:t>
            </w:r>
          </w:p>
        </w:tc>
        <w:tc>
          <w:tcPr>
            <w:tcW w:w="3178" w:type="dxa"/>
            <w:vAlign w:val="center"/>
            <w:hideMark/>
          </w:tcPr>
          <w:p w14:paraId="6F77B221"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unidades do item ..., ... unidades do item ...</w:t>
            </w:r>
          </w:p>
        </w:tc>
        <w:tc>
          <w:tcPr>
            <w:tcW w:w="0" w:type="auto"/>
            <w:vAlign w:val="center"/>
            <w:hideMark/>
          </w:tcPr>
          <w:p w14:paraId="5DF99BF7" w14:textId="77777777" w:rsidR="009148D9" w:rsidRPr="00D7244D" w:rsidRDefault="009148D9" w:rsidP="001E0434">
            <w:pPr>
              <w:spacing w:line="276" w:lineRule="auto"/>
              <w:jc w:val="center"/>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 dias da Assinatura/da Ordem de Fornecimento/[...]</w:t>
            </w:r>
          </w:p>
        </w:tc>
      </w:tr>
    </w:tbl>
    <w:p w14:paraId="1B96CAC3"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Caso não seja possível a entrega na data assinalada, a empresa deverá comunicar as razões respectivas com pelo menos </w:t>
      </w:r>
      <w:r w:rsidRPr="00D7244D">
        <w:rPr>
          <w:rFonts w:ascii="Times New Roman" w:hAnsi="Times New Roman"/>
          <w:color w:val="FF0000"/>
          <w:kern w:val="0"/>
          <w:sz w:val="24"/>
          <w:szCs w:val="24"/>
          <w:lang w:eastAsia="pt-BR"/>
        </w:rPr>
        <w:t>(Indicar prazo)</w:t>
      </w:r>
      <w:r w:rsidRPr="00D7244D">
        <w:rPr>
          <w:rFonts w:ascii="Times New Roman" w:hAnsi="Times New Roman"/>
          <w:kern w:val="0"/>
          <w:sz w:val="24"/>
          <w:szCs w:val="24"/>
          <w:lang w:eastAsia="pt-BR"/>
        </w:rPr>
        <w:t xml:space="preserve"> dias de antecedência para que qualquer pleito de prorrogação de prazo seja analisado, ressalvadas situações de caso fortuito e força maior.</w:t>
      </w:r>
    </w:p>
    <w:p w14:paraId="02ED531D"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Os bens deverão ser entregues no seguinte endereço </w:t>
      </w:r>
      <w:r w:rsidRPr="00D7244D">
        <w:rPr>
          <w:rFonts w:ascii="Times New Roman" w:hAnsi="Times New Roman"/>
          <w:color w:val="FF0000"/>
          <w:kern w:val="0"/>
          <w:sz w:val="24"/>
          <w:szCs w:val="24"/>
          <w:lang w:eastAsia="pt-BR"/>
        </w:rPr>
        <w:t>[Indicar o Endereço]</w:t>
      </w:r>
    </w:p>
    <w:p w14:paraId="659A42D2" w14:textId="77777777" w:rsidR="009148D9" w:rsidRPr="00D7244D" w:rsidRDefault="009148D9" w:rsidP="00DC07C2">
      <w:pPr>
        <w:pStyle w:val="PargrafodaLista"/>
        <w:numPr>
          <w:ilvl w:val="3"/>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No caso de produtos perecíveis, o prazo de validade na data da entrega não poderá ser inferior a</w:t>
      </w:r>
      <w:r w:rsidRPr="00D7244D">
        <w:rPr>
          <w:rFonts w:ascii="Times New Roman" w:hAnsi="Times New Roman"/>
          <w:color w:val="FF0000"/>
          <w:kern w:val="0"/>
          <w:sz w:val="24"/>
          <w:szCs w:val="24"/>
          <w:lang w:eastAsia="pt-BR"/>
        </w:rPr>
        <w:t xml:space="preserve"> ...... (......) (dias ou meses ou anos)</w:t>
      </w:r>
      <w:r w:rsidRPr="00D7244D">
        <w:rPr>
          <w:rFonts w:ascii="Times New Roman" w:hAnsi="Times New Roman"/>
          <w:kern w:val="0"/>
          <w:sz w:val="24"/>
          <w:szCs w:val="24"/>
          <w:lang w:eastAsia="pt-BR"/>
        </w:rPr>
        <w:t xml:space="preserve">, ou a </w:t>
      </w:r>
      <w:r w:rsidRPr="00D7244D">
        <w:rPr>
          <w:rFonts w:ascii="Times New Roman" w:hAnsi="Times New Roman"/>
          <w:color w:val="FF0000"/>
          <w:kern w:val="0"/>
          <w:sz w:val="24"/>
          <w:szCs w:val="24"/>
          <w:lang w:eastAsia="pt-BR"/>
        </w:rPr>
        <w:t>(metade, um terço, dois terços etc.)</w:t>
      </w:r>
      <w:r w:rsidRPr="00D7244D">
        <w:rPr>
          <w:rFonts w:ascii="Times New Roman" w:hAnsi="Times New Roman"/>
          <w:kern w:val="0"/>
          <w:sz w:val="24"/>
          <w:szCs w:val="24"/>
          <w:lang w:eastAsia="pt-BR"/>
        </w:rPr>
        <w:t xml:space="preserve"> do prazo total recomendado pelo fabricante.</w:t>
      </w:r>
    </w:p>
    <w:tbl>
      <w:tblPr>
        <w:tblW w:w="933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0"/>
      </w:tblGrid>
      <w:tr w:rsidR="009148D9" w:rsidRPr="00D7244D" w14:paraId="7CA0A896" w14:textId="77777777" w:rsidTr="001E0434">
        <w:trPr>
          <w:tblCellSpacing w:w="7" w:type="dxa"/>
          <w:jc w:val="center"/>
        </w:trPr>
        <w:tc>
          <w:tcPr>
            <w:tcW w:w="9180" w:type="dxa"/>
            <w:tcBorders>
              <w:top w:val="outset" w:sz="6" w:space="0" w:color="auto"/>
              <w:bottom w:val="outset" w:sz="6" w:space="0" w:color="auto"/>
            </w:tcBorders>
            <w:shd w:val="clear" w:color="auto" w:fill="FFFFCC"/>
            <w:vAlign w:val="center"/>
            <w:hideMark/>
          </w:tcPr>
          <w:p w14:paraId="6A025079"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1: </w:t>
            </w:r>
            <w:r w:rsidRPr="00D7244D">
              <w:rPr>
                <w:rFonts w:ascii="Times New Roman" w:hAnsi="Times New Roman"/>
                <w:kern w:val="0"/>
                <w:sz w:val="24"/>
                <w:szCs w:val="24"/>
                <w:lang w:eastAsia="pt-BR"/>
              </w:rPr>
              <w:t>em caso de remessa parcelada, discriminar as respectivas parcelas, prazos e condições. Esta tabela é meramente ilustrativa. Havendo a necessidade de alteração ou inclusão de dados para cada entrega, a tabela e seu conteúdo devem ser alterados.</w:t>
            </w:r>
          </w:p>
          <w:p w14:paraId="75D62F29" w14:textId="77777777" w:rsidR="009148D9" w:rsidRPr="00D7244D" w:rsidRDefault="009148D9" w:rsidP="001E0434">
            <w:pPr>
              <w:spacing w:line="276" w:lineRule="auto"/>
              <w:jc w:val="both"/>
              <w:rPr>
                <w:rFonts w:ascii="Times New Roman" w:hAnsi="Times New Roman"/>
                <w:kern w:val="0"/>
                <w:sz w:val="24"/>
                <w:szCs w:val="24"/>
                <w:lang w:eastAsia="pt-BR"/>
              </w:rPr>
            </w:pPr>
            <w:bookmarkStart w:id="17" w:name="_msocom_2"/>
            <w:bookmarkEnd w:id="17"/>
            <w:r w:rsidRPr="00D7244D">
              <w:rPr>
                <w:rFonts w:ascii="Times New Roman" w:hAnsi="Times New Roman"/>
                <w:kern w:val="0"/>
                <w:sz w:val="24"/>
                <w:szCs w:val="24"/>
                <w:lang w:eastAsia="pt-BR"/>
              </w:rPr>
              <w:t> </w:t>
            </w:r>
            <w:r w:rsidRPr="00D7244D">
              <w:rPr>
                <w:rFonts w:ascii="Times New Roman" w:hAnsi="Times New Roman"/>
                <w:b/>
                <w:bCs/>
                <w:kern w:val="0"/>
                <w:sz w:val="24"/>
                <w:szCs w:val="24"/>
                <w:lang w:eastAsia="pt-BR"/>
              </w:rPr>
              <w:t xml:space="preserve">Nota Explicativa 2: </w:t>
            </w:r>
            <w:r w:rsidRPr="00D7244D">
              <w:rPr>
                <w:rFonts w:ascii="Times New Roman" w:hAnsi="Times New Roman"/>
                <w:kern w:val="0"/>
                <w:sz w:val="24"/>
                <w:szCs w:val="24"/>
                <w:lang w:eastAsia="pt-BR"/>
              </w:rPr>
              <w:t>Deverá ser registrado no Sistema de TR Digital a indicação dos locais de entrega de produtos e das regras para recebimentos provisório e definitivo, quando for o caso. (</w:t>
            </w:r>
            <w:hyperlink r:id="rId41" w:tgtFrame="_blank" w:history="1">
              <w:r w:rsidRPr="00D7244D">
                <w:rPr>
                  <w:rFonts w:ascii="Times New Roman" w:hAnsi="Times New Roman"/>
                  <w:color w:val="0000FF"/>
                  <w:kern w:val="0"/>
                  <w:sz w:val="24"/>
                  <w:szCs w:val="24"/>
                  <w:u w:val="single"/>
                  <w:lang w:eastAsia="pt-BR"/>
                </w:rPr>
                <w:t>art.9º, inciso I, alínea c, da IN Seges/ME nº 81, de 2022)</w:t>
              </w:r>
            </w:hyperlink>
            <w:r w:rsidRPr="00D7244D">
              <w:rPr>
                <w:rFonts w:ascii="Times New Roman" w:hAnsi="Times New Roman"/>
                <w:kern w:val="0"/>
                <w:sz w:val="24"/>
                <w:szCs w:val="24"/>
                <w:lang w:eastAsia="pt-BR"/>
              </w:rPr>
              <w:t>.</w:t>
            </w:r>
          </w:p>
          <w:p w14:paraId="34DC25BE"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3: </w:t>
            </w:r>
            <w:r w:rsidRPr="00D7244D">
              <w:rPr>
                <w:rFonts w:ascii="Times New Roman" w:hAnsi="Times New Roman"/>
                <w:kern w:val="0"/>
                <w:sz w:val="24"/>
                <w:szCs w:val="24"/>
                <w:lang w:eastAsia="pt-BR"/>
              </w:rPr>
              <w:t>Caso haja mais de um endereço, deve-se especificar. Do mesmo modo, se os endereços se modificarem conforme cada entrega. Ademais, se houver a necessidade de previamente se acordar a data ou hora de entrega com o setor de almoxarifado respectivo, deve-se especificar essa obrigação.</w:t>
            </w:r>
          </w:p>
        </w:tc>
      </w:tr>
    </w:tbl>
    <w:bookmarkEnd w:id="2"/>
    <w:p w14:paraId="3A707608" w14:textId="77777777" w:rsidR="009148D9" w:rsidRPr="003B2998" w:rsidRDefault="009148D9" w:rsidP="00DC07C2">
      <w:pPr>
        <w:pStyle w:val="PargrafodaLista"/>
        <w:numPr>
          <w:ilvl w:val="1"/>
          <w:numId w:val="9"/>
        </w:numPr>
        <w:spacing w:line="276" w:lineRule="auto"/>
        <w:jc w:val="both"/>
        <w:rPr>
          <w:rFonts w:ascii="Times New Roman" w:hAnsi="Times New Roman"/>
          <w:b/>
          <w:bCs/>
          <w:kern w:val="0"/>
          <w:sz w:val="24"/>
          <w:szCs w:val="24"/>
          <w:lang w:eastAsia="pt-BR"/>
        </w:rPr>
      </w:pPr>
      <w:r w:rsidRPr="003B2998">
        <w:rPr>
          <w:rFonts w:ascii="Times New Roman" w:hAnsi="Times New Roman"/>
          <w:b/>
          <w:bCs/>
          <w:kern w:val="0"/>
          <w:sz w:val="24"/>
          <w:szCs w:val="24"/>
          <w:lang w:eastAsia="pt-BR"/>
        </w:rPr>
        <w:t>Da vigência contratual:</w:t>
      </w:r>
    </w:p>
    <w:p w14:paraId="076CEE58" w14:textId="77777777" w:rsidR="009148D9" w:rsidRPr="003B2998"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3B2998">
        <w:rPr>
          <w:rFonts w:ascii="Times New Roman" w:hAnsi="Times New Roman"/>
          <w:kern w:val="0"/>
          <w:sz w:val="24"/>
          <w:szCs w:val="24"/>
          <w:lang w:eastAsia="pt-BR"/>
        </w:rPr>
        <w:t>O prazo de vigência da contratação é de </w:t>
      </w:r>
      <w:r w:rsidRPr="003B2998">
        <w:rPr>
          <w:rFonts w:ascii="Times New Roman" w:hAnsi="Times New Roman"/>
          <w:b/>
          <w:bCs/>
          <w:color w:val="FF0000"/>
          <w:kern w:val="0"/>
          <w:sz w:val="24"/>
          <w:szCs w:val="24"/>
          <w:lang w:eastAsia="pt-BR"/>
        </w:rPr>
        <w:t>[indicar o prazo]</w:t>
      </w:r>
      <w:r w:rsidRPr="003B2998">
        <w:rPr>
          <w:rFonts w:ascii="Times New Roman" w:hAnsi="Times New Roman"/>
          <w:kern w:val="0"/>
          <w:sz w:val="24"/>
          <w:szCs w:val="24"/>
          <w:lang w:eastAsia="pt-BR"/>
        </w:rPr>
        <w:t> contados do(a) </w:t>
      </w:r>
      <w:r w:rsidRPr="003B2998">
        <w:rPr>
          <w:rFonts w:ascii="Times New Roman" w:hAnsi="Times New Roman"/>
          <w:b/>
          <w:bCs/>
          <w:color w:val="FF0000"/>
          <w:kern w:val="0"/>
          <w:sz w:val="24"/>
          <w:szCs w:val="24"/>
          <w:lang w:eastAsia="pt-BR"/>
        </w:rPr>
        <w:t>[indicar o termo inicial da vigência]</w:t>
      </w:r>
      <w:r w:rsidRPr="003B2998">
        <w:rPr>
          <w:rFonts w:ascii="Times New Roman" w:hAnsi="Times New Roman"/>
          <w:kern w:val="0"/>
          <w:sz w:val="24"/>
          <w:szCs w:val="24"/>
          <w:lang w:eastAsia="pt-BR"/>
        </w:rPr>
        <w:t>, na forma do artigo 105 da Lei n° 14.133, de 2021.</w:t>
      </w:r>
    </w:p>
    <w:p w14:paraId="79006CD9"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05CBA98" w14:textId="77777777" w:rsidR="009148D9" w:rsidRPr="00D7244D" w:rsidRDefault="009148D9" w:rsidP="00DC07C2">
      <w:pPr>
        <w:pStyle w:val="PargrafodaLista"/>
        <w:numPr>
          <w:ilvl w:val="2"/>
          <w:numId w:val="9"/>
        </w:numPr>
        <w:spacing w:line="276" w:lineRule="auto"/>
        <w:ind w:left="1276"/>
        <w:jc w:val="both"/>
        <w:rPr>
          <w:rFonts w:ascii="Times New Roman" w:hAnsi="Times New Roman"/>
          <w:kern w:val="0"/>
          <w:sz w:val="24"/>
          <w:szCs w:val="24"/>
          <w:lang w:eastAsia="pt-BR"/>
        </w:rPr>
      </w:pPr>
      <w:r w:rsidRPr="00D7244D">
        <w:rPr>
          <w:rFonts w:ascii="Times New Roman" w:hAnsi="Times New Roman"/>
          <w:kern w:val="0"/>
          <w:sz w:val="24"/>
          <w:szCs w:val="24"/>
          <w:lang w:eastAsia="pt-BR"/>
        </w:rPr>
        <w:t>O prazo de vigência da contratação é de </w:t>
      </w:r>
      <w:r w:rsidRPr="00D7244D">
        <w:rPr>
          <w:rFonts w:ascii="Times New Roman" w:hAnsi="Times New Roman"/>
          <w:b/>
          <w:bCs/>
          <w:color w:val="FF0000"/>
          <w:kern w:val="0"/>
          <w:sz w:val="24"/>
          <w:szCs w:val="24"/>
          <w:lang w:eastAsia="pt-BR"/>
        </w:rPr>
        <w:t>[indicar o prazo, limitado a 5 anos]</w:t>
      </w:r>
      <w:r w:rsidRPr="00D7244D">
        <w:rPr>
          <w:rFonts w:ascii="Times New Roman" w:hAnsi="Times New Roman"/>
          <w:kern w:val="0"/>
          <w:sz w:val="24"/>
          <w:szCs w:val="24"/>
          <w:lang w:eastAsia="pt-BR"/>
        </w:rPr>
        <w:t> contados do(a) </w:t>
      </w:r>
      <w:r w:rsidRPr="00D7244D">
        <w:rPr>
          <w:rFonts w:ascii="Times New Roman" w:hAnsi="Times New Roman"/>
          <w:b/>
          <w:bCs/>
          <w:color w:val="FF0000"/>
          <w:kern w:val="0"/>
          <w:sz w:val="24"/>
          <w:szCs w:val="24"/>
          <w:lang w:eastAsia="pt-BR"/>
        </w:rPr>
        <w:t>[indicar o termo inicial da vigência]</w:t>
      </w:r>
      <w:r w:rsidRPr="00D7244D">
        <w:rPr>
          <w:rFonts w:ascii="Times New Roman" w:hAnsi="Times New Roman"/>
          <w:kern w:val="0"/>
          <w:sz w:val="24"/>
          <w:szCs w:val="24"/>
          <w:lang w:eastAsia="pt-BR"/>
        </w:rPr>
        <w:t>, prorrogável por até 10 anos, na forma dos artigos 106 e 107 da Lei n° 14.133, de 2021.</w:t>
      </w:r>
    </w:p>
    <w:p w14:paraId="206F1324"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603E0F36" w14:textId="77777777" w:rsidR="009148D9" w:rsidRPr="00D7244D"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 </w:t>
      </w:r>
      <w:r w:rsidRPr="00D007BA">
        <w:rPr>
          <w:rFonts w:ascii="Times New Roman" w:hAnsi="Times New Roman"/>
          <w:color w:val="2E74B5" w:themeColor="accent5" w:themeShade="BF"/>
          <w:kern w:val="0"/>
          <w:sz w:val="24"/>
          <w:szCs w:val="24"/>
          <w:lang w:eastAsia="pt-BR"/>
        </w:rPr>
        <w:t>fornecimento do bem</w:t>
      </w:r>
      <w:r w:rsidRPr="00D7244D">
        <w:rPr>
          <w:rFonts w:ascii="Times New Roman" w:hAnsi="Times New Roman"/>
          <w:kern w:val="0"/>
          <w:sz w:val="24"/>
          <w:szCs w:val="24"/>
          <w:lang w:eastAsia="pt-BR"/>
        </w:rPr>
        <w:t xml:space="preserve"> é enquadrado como continuado tendo em vista que [...], sendo a vigência plurianual mais vantajosa considerando </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[o Estudo Técnico Preliminar]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[os termos da Nota Técnica .../...];</w:t>
      </w:r>
    </w:p>
    <w:p w14:paraId="47DA813B"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249C7C84" w14:textId="77777777" w:rsidR="009148D9" w:rsidRPr="00D7244D" w:rsidRDefault="009148D9" w:rsidP="00DC07C2">
      <w:pPr>
        <w:pStyle w:val="PargrafodaLista"/>
        <w:numPr>
          <w:ilvl w:val="2"/>
          <w:numId w:val="9"/>
        </w:numPr>
        <w:spacing w:line="276" w:lineRule="auto"/>
        <w:jc w:val="both"/>
        <w:rPr>
          <w:rFonts w:ascii="Times New Roman" w:hAnsi="Times New Roman"/>
          <w:kern w:val="0"/>
          <w:sz w:val="24"/>
          <w:szCs w:val="24"/>
          <w:lang w:eastAsia="pt-BR"/>
        </w:rPr>
      </w:pPr>
      <w:r w:rsidRPr="00D7244D">
        <w:rPr>
          <w:rFonts w:ascii="Times New Roman" w:hAnsi="Times New Roman"/>
          <w:kern w:val="0"/>
          <w:sz w:val="24"/>
          <w:szCs w:val="24"/>
          <w:lang w:eastAsia="pt-BR"/>
        </w:rPr>
        <w:t>O prazo de vigência da contratação é de </w:t>
      </w:r>
      <w:r w:rsidRPr="00D7244D">
        <w:rPr>
          <w:rFonts w:ascii="Times New Roman" w:hAnsi="Times New Roman"/>
          <w:b/>
          <w:bCs/>
          <w:color w:val="FF0000"/>
          <w:kern w:val="0"/>
          <w:sz w:val="24"/>
          <w:szCs w:val="24"/>
          <w:lang w:eastAsia="pt-BR"/>
        </w:rPr>
        <w:t>[indicar o prazo, limitado a um ano da ocorrência da emergência ou calamidade]</w:t>
      </w:r>
      <w:r w:rsidRPr="00D7244D">
        <w:rPr>
          <w:rFonts w:ascii="Times New Roman" w:hAnsi="Times New Roman"/>
          <w:kern w:val="0"/>
          <w:sz w:val="24"/>
          <w:szCs w:val="24"/>
          <w:lang w:eastAsia="pt-BR"/>
        </w:rPr>
        <w:t> contados do(a) </w:t>
      </w:r>
      <w:r w:rsidRPr="00D7244D">
        <w:rPr>
          <w:rFonts w:ascii="Times New Roman" w:hAnsi="Times New Roman"/>
          <w:b/>
          <w:bCs/>
          <w:color w:val="FF0000"/>
          <w:kern w:val="0"/>
          <w:sz w:val="24"/>
          <w:szCs w:val="24"/>
          <w:lang w:eastAsia="pt-BR"/>
        </w:rPr>
        <w:t xml:space="preserve">[indicar o termo inicial da </w:t>
      </w:r>
      <w:r w:rsidRPr="00D7244D">
        <w:rPr>
          <w:rFonts w:ascii="Times New Roman" w:hAnsi="Times New Roman"/>
          <w:b/>
          <w:bCs/>
          <w:color w:val="FF0000"/>
          <w:kern w:val="0"/>
          <w:sz w:val="24"/>
          <w:szCs w:val="24"/>
          <w:lang w:eastAsia="pt-BR"/>
        </w:rPr>
        <w:lastRenderedPageBreak/>
        <w:t>vigência]</w:t>
      </w:r>
      <w:r w:rsidRPr="00D7244D">
        <w:rPr>
          <w:rFonts w:ascii="Times New Roman" w:hAnsi="Times New Roman"/>
          <w:kern w:val="0"/>
          <w:sz w:val="24"/>
          <w:szCs w:val="24"/>
          <w:lang w:eastAsia="pt-BR"/>
        </w:rPr>
        <w:t>, improrrogável, na forma do art. 75, inciso VIII, da Lei n° 14.133/2021.</w:t>
      </w:r>
    </w:p>
    <w:tbl>
      <w:tblPr>
        <w:tblW w:w="967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78"/>
      </w:tblGrid>
      <w:tr w:rsidR="009148D9" w:rsidRPr="00D7244D" w14:paraId="5A6E72E9" w14:textId="77777777" w:rsidTr="001E0434">
        <w:trPr>
          <w:trHeight w:val="5073"/>
          <w:tblCellSpacing w:w="7" w:type="dxa"/>
          <w:jc w:val="center"/>
        </w:trPr>
        <w:tc>
          <w:tcPr>
            <w:tcW w:w="9650" w:type="dxa"/>
            <w:tcBorders>
              <w:top w:val="outset" w:sz="6" w:space="0" w:color="auto"/>
              <w:bottom w:val="outset" w:sz="6" w:space="0" w:color="auto"/>
            </w:tcBorders>
            <w:shd w:val="clear" w:color="auto" w:fill="FFFFCC"/>
            <w:vAlign w:val="center"/>
            <w:hideMark/>
          </w:tcPr>
          <w:p w14:paraId="2261A3C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 </w:t>
            </w:r>
            <w:r w:rsidRPr="00D7244D">
              <w:rPr>
                <w:rFonts w:ascii="Times New Roman" w:hAnsi="Times New Roman"/>
                <w:kern w:val="0"/>
                <w:sz w:val="24"/>
                <w:szCs w:val="24"/>
                <w:lang w:eastAsia="pt-BR"/>
              </w:rPr>
              <w:t>Prazo de Vigência e Empenho - art. 105 da Lei nº 14.133, de 2021 – </w:t>
            </w:r>
            <w:r w:rsidRPr="00D7244D">
              <w:rPr>
                <w:rFonts w:ascii="Times New Roman" w:hAnsi="Times New Roman"/>
                <w:b/>
                <w:bCs/>
                <w:kern w:val="0"/>
                <w:sz w:val="24"/>
                <w:szCs w:val="24"/>
                <w:lang w:eastAsia="pt-BR"/>
              </w:rPr>
              <w:t>Fornecimento Não-Contínuo</w:t>
            </w:r>
            <w:r w:rsidRPr="00D7244D">
              <w:rPr>
                <w:rFonts w:ascii="Times New Roman" w:hAnsi="Times New Roman"/>
                <w:kern w:val="0"/>
                <w:sz w:val="24"/>
                <w:szCs w:val="24"/>
                <w:lang w:eastAsia="pt-BR"/>
              </w:rPr>
              <w:t>: Em caso de fornecimento não contínuo, o prazo de vigência deve ser o suficiente para a entrega do objeto e adoção das providências previstas no contrato, sendo a contratação limitada pelos respectivos créditos orçamentários. Uma contratação que não tenha previsão no Plano Plurianual deve ter a sua integralidade empenhada antes ou de modo concomitante à celebração, conforme Lei nº 4.320, de 17 de março 1964, e Decreto nº 93.872, de 23 de dezembro de 1986, e a partir de tal empenho ter a vigência necessária prevista, utilizando-se de restos a pagar, se for o caso (art. 30, §2º do Decreto nº 93.872, de 1986).Já a contratação prevista no Plano Plurianual pode ter empenhos em anos distintos, considerando a despesa de cada exercício, apenas quanto ao período abrangido pelo PPA. </w:t>
            </w:r>
          </w:p>
          <w:p w14:paraId="16D3E7C0"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2:</w:t>
            </w:r>
            <w:r w:rsidRPr="00D7244D">
              <w:rPr>
                <w:rFonts w:ascii="Times New Roman" w:hAnsi="Times New Roman"/>
                <w:kern w:val="0"/>
                <w:sz w:val="24"/>
                <w:szCs w:val="24"/>
                <w:lang w:eastAsia="pt-BR"/>
              </w:rPr>
              <w:t xml:space="preserve"> Prazo de Vigência – </w:t>
            </w:r>
            <w:proofErr w:type="spellStart"/>
            <w:r w:rsidRPr="00D7244D">
              <w:rPr>
                <w:rFonts w:ascii="Times New Roman" w:hAnsi="Times New Roman"/>
                <w:kern w:val="0"/>
                <w:sz w:val="24"/>
                <w:szCs w:val="24"/>
                <w:lang w:eastAsia="pt-BR"/>
              </w:rPr>
              <w:t>arts</w:t>
            </w:r>
            <w:proofErr w:type="spellEnd"/>
            <w:r w:rsidRPr="00D7244D">
              <w:rPr>
                <w:rFonts w:ascii="Times New Roman" w:hAnsi="Times New Roman"/>
                <w:kern w:val="0"/>
                <w:sz w:val="24"/>
                <w:szCs w:val="24"/>
                <w:lang w:eastAsia="pt-BR"/>
              </w:rPr>
              <w:t>. 106 e 107 - </w:t>
            </w:r>
            <w:r w:rsidRPr="00D7244D">
              <w:rPr>
                <w:rFonts w:ascii="Times New Roman" w:hAnsi="Times New Roman"/>
                <w:b/>
                <w:bCs/>
                <w:kern w:val="0"/>
                <w:sz w:val="24"/>
                <w:szCs w:val="24"/>
                <w:lang w:eastAsia="pt-BR"/>
              </w:rPr>
              <w:t>Fornecimento Contínuo</w:t>
            </w:r>
            <w:r w:rsidRPr="00D7244D">
              <w:rPr>
                <w:rFonts w:ascii="Times New Roman" w:hAnsi="Times New Roman"/>
                <w:kern w:val="0"/>
                <w:sz w:val="24"/>
                <w:szCs w:val="24"/>
                <w:lang w:eastAsia="pt-BR"/>
              </w:rPr>
              <w:t> - A definição de fornecimento contínuo consta no art. 6º, XV da Lei nº 14.133, de 2021, sendo as “compras realizadas pela Administração Pública para a manutenção da atividade administrativa, decorrentes de necessidades permanentes ou prolongadas”. A utilização do prazo de vigência plurianual no caso de fornecimento contínuo é condicionada ao ateste de maior vantagem econômica, a ser feita pela autoridade competente no processo respectivo, conforme art. 106, I da Lei nº 14.133, de 2021. De acordo com o artigo 107 da Lei nº 14.133, de 2021, será possível que contratos de fornecimento contínuo sejam prorrogados por até 10 anos, desde que haja previsão no aviso de dispensa ou no próprio contrato de que a autoridade competente ateste que as condições e os preços permanecem vantajosos para a Administração, permitida a negociação com o contratado ou a extinção contratual sem ônus para qualquer das partes. </w:t>
            </w:r>
          </w:p>
        </w:tc>
      </w:tr>
    </w:tbl>
    <w:p w14:paraId="5A3B3D65"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Do recebimento:</w:t>
      </w:r>
    </w:p>
    <w:p w14:paraId="2DAF22FC"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Os </w:t>
      </w:r>
      <w:r w:rsidRPr="00D007BA">
        <w:rPr>
          <w:rFonts w:ascii="Times New Roman" w:hAnsi="Times New Roman"/>
          <w:color w:val="2E74B5" w:themeColor="accent5" w:themeShade="BF"/>
          <w:kern w:val="0"/>
          <w:sz w:val="24"/>
          <w:szCs w:val="24"/>
          <w:lang w:eastAsia="pt-BR"/>
        </w:rPr>
        <w:t>bens</w:t>
      </w:r>
      <w:r w:rsidRPr="003B2998">
        <w:rPr>
          <w:rFonts w:ascii="Times New Roman" w:hAnsi="Times New Roman"/>
          <w:kern w:val="0"/>
          <w:sz w:val="24"/>
          <w:szCs w:val="24"/>
          <w:lang w:eastAsia="pt-BR"/>
        </w:rPr>
        <w:t xml:space="preserve"> serão </w:t>
      </w:r>
      <w:r w:rsidRPr="003B2998">
        <w:rPr>
          <w:rFonts w:ascii="Times New Roman" w:hAnsi="Times New Roman"/>
          <w:b/>
          <w:bCs/>
          <w:kern w:val="0"/>
          <w:sz w:val="24"/>
          <w:szCs w:val="24"/>
          <w:lang w:eastAsia="pt-BR"/>
        </w:rPr>
        <w:t>recebidos provisoriamente, no prazo de </w:t>
      </w:r>
      <w:r w:rsidRPr="003B2998">
        <w:rPr>
          <w:rFonts w:ascii="Times New Roman" w:hAnsi="Times New Roman"/>
          <w:b/>
          <w:bCs/>
          <w:color w:val="FF0000"/>
          <w:kern w:val="0"/>
          <w:sz w:val="24"/>
          <w:szCs w:val="24"/>
          <w:lang w:eastAsia="pt-BR"/>
        </w:rPr>
        <w:t>[indicar o prazo] (Indicar o prazo por extenso) dias</w:t>
      </w:r>
      <w:r w:rsidRPr="003B2998">
        <w:rPr>
          <w:rFonts w:ascii="Times New Roman" w:hAnsi="Times New Roman"/>
          <w:kern w:val="0"/>
          <w:sz w:val="24"/>
          <w:szCs w:val="24"/>
          <w:lang w:eastAsia="pt-BR"/>
        </w:rPr>
        <w:t>, pelos fiscais técnico e administrativo, mediante termos detalhados, quando verificado o cumprimento das exigências de caráter técnico e administrativo. (Art. 140, I, a, da Lei nº 14.133 e Art. 7º, inciso II, do Decreto Estadual nº 15.093, de 21 de fevereiro de 2013).</w:t>
      </w:r>
    </w:p>
    <w:p w14:paraId="32DDE87A"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Os </w:t>
      </w:r>
      <w:r w:rsidRPr="00D007BA">
        <w:rPr>
          <w:rFonts w:ascii="Times New Roman" w:hAnsi="Times New Roman"/>
          <w:color w:val="2E74B5" w:themeColor="accent5" w:themeShade="BF"/>
          <w:kern w:val="0"/>
          <w:sz w:val="24"/>
          <w:szCs w:val="24"/>
          <w:lang w:eastAsia="pt-BR"/>
        </w:rPr>
        <w:t>bens</w:t>
      </w:r>
      <w:r w:rsidRPr="00D7244D">
        <w:rPr>
          <w:rFonts w:ascii="Times New Roman" w:hAnsi="Times New Roman"/>
          <w:kern w:val="0"/>
          <w:sz w:val="24"/>
          <w:szCs w:val="24"/>
          <w:lang w:eastAsia="pt-BR"/>
        </w:rPr>
        <w:t xml:space="preserve"> serão </w:t>
      </w:r>
      <w:r w:rsidRPr="00D7244D">
        <w:rPr>
          <w:rFonts w:ascii="Times New Roman" w:hAnsi="Times New Roman"/>
          <w:b/>
          <w:bCs/>
          <w:kern w:val="0"/>
          <w:sz w:val="24"/>
          <w:szCs w:val="24"/>
          <w:lang w:eastAsia="pt-BR"/>
        </w:rPr>
        <w:t>recebidos definitivamente no prazo de </w:t>
      </w:r>
      <w:r w:rsidRPr="00D7244D">
        <w:rPr>
          <w:rFonts w:ascii="Times New Roman" w:hAnsi="Times New Roman"/>
          <w:b/>
          <w:bCs/>
          <w:color w:val="FF0000"/>
          <w:kern w:val="0"/>
          <w:sz w:val="24"/>
          <w:szCs w:val="24"/>
          <w:lang w:eastAsia="pt-BR"/>
        </w:rPr>
        <w:t>[indicar o prazo] (Indicar o prazo por extenso) dias</w:t>
      </w:r>
      <w:r w:rsidRPr="00D7244D">
        <w:rPr>
          <w:rFonts w:ascii="Times New Roman" w:hAnsi="Times New Roman"/>
          <w:kern w:val="0"/>
          <w:sz w:val="24"/>
          <w:szCs w:val="24"/>
          <w:lang w:eastAsia="pt-BR"/>
        </w:rPr>
        <w:t xml:space="preserve">, contados do recebimento provisório, por servidor ou comissão designada pela autoridade competente, após a verificação da qualidade e quantidade do </w:t>
      </w:r>
      <w:r w:rsidRPr="0090313E">
        <w:rPr>
          <w:rFonts w:ascii="Times New Roman" w:hAnsi="Times New Roman"/>
          <w:color w:val="2E74B5" w:themeColor="accent5" w:themeShade="BF"/>
          <w:kern w:val="0"/>
          <w:sz w:val="24"/>
          <w:szCs w:val="24"/>
          <w:lang w:eastAsia="pt-BR"/>
        </w:rPr>
        <w:t>objeto</w:t>
      </w:r>
      <w:r w:rsidRPr="00D7244D">
        <w:rPr>
          <w:rFonts w:ascii="Times New Roman" w:hAnsi="Times New Roman"/>
          <w:kern w:val="0"/>
          <w:sz w:val="24"/>
          <w:szCs w:val="24"/>
          <w:lang w:eastAsia="pt-BR"/>
        </w:rPr>
        <w:t xml:space="preserve"> e consequente aceitação mediante termo detalhado.</w:t>
      </w:r>
    </w:p>
    <w:p w14:paraId="062C5C60"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O Contratado fica obrigado a reparar, corrigir, remover, reconstruir ou substituir, às suas expensas, no todo ou em parte, o objeto em que se verificarem vícios, defeitos ou incorreções resultantes da execução ou materiais empregados,</w:t>
      </w:r>
      <w:r w:rsidRPr="00D7244D">
        <w:rPr>
          <w:rFonts w:ascii="Times New Roman" w:hAnsi="Times New Roman"/>
          <w:b/>
          <w:bCs/>
          <w:kern w:val="0"/>
          <w:sz w:val="24"/>
          <w:szCs w:val="24"/>
          <w:lang w:eastAsia="pt-BR"/>
        </w:rPr>
        <w:t> no prazo de </w:t>
      </w:r>
      <w:r w:rsidRPr="00D7244D">
        <w:rPr>
          <w:rFonts w:ascii="Times New Roman" w:hAnsi="Times New Roman"/>
          <w:b/>
          <w:bCs/>
          <w:color w:val="FF0000"/>
          <w:kern w:val="0"/>
          <w:sz w:val="24"/>
          <w:szCs w:val="24"/>
          <w:lang w:eastAsia="pt-BR"/>
        </w:rPr>
        <w:t>[indicar o prazo] (Indicar o prazo por extenso) dias,</w:t>
      </w:r>
      <w:r w:rsidRPr="00D7244D">
        <w:rPr>
          <w:rFonts w:ascii="Times New Roman" w:hAnsi="Times New Roman"/>
          <w:kern w:val="0"/>
          <w:sz w:val="24"/>
          <w:szCs w:val="24"/>
          <w:lang w:eastAsia="pt-BR"/>
        </w:rPr>
        <w:t xml:space="preserve"> cabendo à fiscalização não atestar a última e/ou única medição </w:t>
      </w:r>
      <w:r w:rsidRPr="00D7244D">
        <w:rPr>
          <w:rFonts w:ascii="Times New Roman" w:hAnsi="Times New Roman"/>
          <w:kern w:val="0"/>
          <w:sz w:val="24"/>
          <w:szCs w:val="24"/>
          <w:lang w:eastAsia="pt-BR"/>
        </w:rPr>
        <w:lastRenderedPageBreak/>
        <w:t xml:space="preserve">de </w:t>
      </w:r>
      <w:r w:rsidRPr="0090313E">
        <w:rPr>
          <w:rFonts w:ascii="Times New Roman" w:hAnsi="Times New Roman"/>
          <w:color w:val="4472C4" w:themeColor="accent1"/>
          <w:kern w:val="0"/>
          <w:sz w:val="24"/>
          <w:szCs w:val="24"/>
          <w:lang w:eastAsia="pt-BR"/>
        </w:rPr>
        <w:t xml:space="preserve">fornecimento do bem </w:t>
      </w:r>
      <w:r w:rsidRPr="00D7244D">
        <w:rPr>
          <w:rFonts w:ascii="Times New Roman" w:hAnsi="Times New Roman"/>
          <w:kern w:val="0"/>
          <w:sz w:val="24"/>
          <w:szCs w:val="24"/>
          <w:lang w:eastAsia="pt-BR"/>
        </w:rPr>
        <w:t>até que sejam sanadas todas as eventuais pendências que possam vir a ser apontadas no Recebimento Provisório.</w:t>
      </w:r>
    </w:p>
    <w:p w14:paraId="6EE0905C"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Os </w:t>
      </w:r>
      <w:r w:rsidRPr="0090313E">
        <w:rPr>
          <w:rFonts w:ascii="Times New Roman" w:hAnsi="Times New Roman"/>
          <w:color w:val="2E74B5" w:themeColor="accent5" w:themeShade="BF"/>
          <w:kern w:val="0"/>
          <w:sz w:val="24"/>
          <w:szCs w:val="24"/>
          <w:lang w:eastAsia="pt-BR"/>
        </w:rPr>
        <w:t>bens</w:t>
      </w:r>
      <w:r w:rsidRPr="003B2998">
        <w:rPr>
          <w:rFonts w:ascii="Times New Roman" w:hAnsi="Times New Roman"/>
          <w:kern w:val="0"/>
          <w:sz w:val="24"/>
          <w:szCs w:val="24"/>
          <w:lang w:eastAsia="pt-BR"/>
        </w:rPr>
        <w:t xml:space="preserve"> poderão ser rejeitados, no todo ou em parte, quando em desacordo com as especificações constantes neste Termo de Referência e na proposta, sem prejuízo da aplicação das penalidades.</w:t>
      </w:r>
    </w:p>
    <w:p w14:paraId="380F102F"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 xml:space="preserve">O recebimento provisório ou definitivo não exclui a responsabilidade civil pela solidez e segurança da obra ou do </w:t>
      </w:r>
      <w:r>
        <w:rPr>
          <w:rFonts w:ascii="Times New Roman" w:hAnsi="Times New Roman"/>
          <w:color w:val="2E74B5" w:themeColor="accent5" w:themeShade="BF"/>
          <w:kern w:val="0"/>
          <w:sz w:val="24"/>
          <w:szCs w:val="24"/>
          <w:lang w:eastAsia="pt-BR"/>
        </w:rPr>
        <w:t>fornecimento de bem</w:t>
      </w:r>
      <w:r w:rsidRPr="003B2998">
        <w:rPr>
          <w:rFonts w:ascii="Times New Roman" w:hAnsi="Times New Roman"/>
          <w:kern w:val="0"/>
          <w:sz w:val="24"/>
          <w:szCs w:val="24"/>
          <w:lang w:eastAsia="pt-BR"/>
        </w:rPr>
        <w:t>, nem ético-profissional pela perfeita execução do contrato, dentro dos limites estabelecidos pela lei ou pelo contrato.</w:t>
      </w:r>
    </w:p>
    <w:p w14:paraId="34ECB12B"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Na hipótese de o termo circunstanciado ou a verificação a que se refere </w:t>
      </w:r>
      <w:r w:rsidRPr="003B2998">
        <w:rPr>
          <w:rFonts w:ascii="Times New Roman" w:hAnsi="Times New Roman"/>
          <w:b/>
          <w:bCs/>
          <w:kern w:val="0"/>
          <w:sz w:val="24"/>
          <w:szCs w:val="24"/>
          <w:lang w:eastAsia="pt-BR"/>
        </w:rPr>
        <w:t xml:space="preserve">item </w:t>
      </w:r>
      <w:r>
        <w:rPr>
          <w:rFonts w:ascii="Times New Roman" w:hAnsi="Times New Roman"/>
          <w:b/>
          <w:bCs/>
          <w:kern w:val="0"/>
          <w:sz w:val="24"/>
          <w:szCs w:val="24"/>
          <w:lang w:eastAsia="pt-BR"/>
        </w:rPr>
        <w:t>9</w:t>
      </w:r>
      <w:r w:rsidRPr="003B2998">
        <w:rPr>
          <w:rFonts w:ascii="Times New Roman" w:hAnsi="Times New Roman"/>
          <w:b/>
          <w:bCs/>
          <w:kern w:val="0"/>
          <w:sz w:val="24"/>
          <w:szCs w:val="24"/>
          <w:lang w:eastAsia="pt-BR"/>
        </w:rPr>
        <w:t>.</w:t>
      </w:r>
      <w:r>
        <w:rPr>
          <w:rFonts w:ascii="Times New Roman" w:hAnsi="Times New Roman"/>
          <w:b/>
          <w:bCs/>
          <w:kern w:val="0"/>
          <w:sz w:val="24"/>
          <w:szCs w:val="24"/>
          <w:lang w:eastAsia="pt-BR"/>
        </w:rPr>
        <w:t>3</w:t>
      </w:r>
      <w:r w:rsidRPr="003B2998">
        <w:rPr>
          <w:rFonts w:ascii="Times New Roman" w:hAnsi="Times New Roman"/>
          <w:b/>
          <w:bCs/>
          <w:kern w:val="0"/>
          <w:sz w:val="24"/>
          <w:szCs w:val="24"/>
          <w:lang w:eastAsia="pt-BR"/>
        </w:rPr>
        <w:t>.1</w:t>
      </w:r>
      <w:r w:rsidRPr="003B2998">
        <w:rPr>
          <w:rFonts w:ascii="Times New Roman" w:hAnsi="Times New Roman"/>
          <w:kern w:val="0"/>
          <w:sz w:val="24"/>
          <w:szCs w:val="24"/>
          <w:lang w:eastAsia="pt-BR"/>
        </w:rPr>
        <w:t> não serem, respectivamente, lavrado ou procedida dentro dos prazos fixados, reputar-se-ão como realizados, desde que comunicados à Administração nos 15 (quinze) dias anteriores à exaustão dos mesmos, situação na qual será responsabilizado o fiscal ou comissão responsável pela fiscalização.</w:t>
      </w:r>
    </w:p>
    <w:p w14:paraId="77558D25" w14:textId="77777777" w:rsidR="009148D9" w:rsidRPr="00D7244D" w:rsidRDefault="009148D9" w:rsidP="009148D9">
      <w:pPr>
        <w:pStyle w:val="PargrafodaLista"/>
        <w:spacing w:line="276" w:lineRule="auto"/>
        <w:ind w:left="1440"/>
        <w:jc w:val="both"/>
        <w:rPr>
          <w:rFonts w:ascii="Times New Roman" w:hAnsi="Times New Roman"/>
          <w:kern w:val="0"/>
          <w:sz w:val="24"/>
          <w:szCs w:val="24"/>
          <w:lang w:eastAsia="pt-BR"/>
        </w:rPr>
      </w:pPr>
    </w:p>
    <w:p w14:paraId="2814AC1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Da Garantia da Contratação:</w:t>
      </w:r>
    </w:p>
    <w:p w14:paraId="3C19EA1C" w14:textId="77777777" w:rsidR="009148D9" w:rsidRPr="003B2998"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B2998">
        <w:rPr>
          <w:rFonts w:ascii="Times New Roman" w:hAnsi="Times New Roman"/>
          <w:kern w:val="0"/>
          <w:sz w:val="24"/>
          <w:szCs w:val="24"/>
          <w:lang w:eastAsia="pt-BR"/>
        </w:rPr>
        <w:t>Não haverá exigência da garantia da contratação dos art. 96 e seguintes da Lei nº 14.133, de 2021, pelas razões constantes do Estudo Técnico Preliminar.</w:t>
      </w:r>
    </w:p>
    <w:p w14:paraId="4936F728" w14:textId="77777777" w:rsidR="009148D9" w:rsidRPr="00D7244D" w:rsidRDefault="009148D9" w:rsidP="009148D9">
      <w:pPr>
        <w:spacing w:line="276" w:lineRule="auto"/>
        <w:ind w:left="600"/>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5CB4A234"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kern w:val="0"/>
          <w:sz w:val="24"/>
          <w:szCs w:val="24"/>
          <w:lang w:eastAsia="pt-BR"/>
        </w:rPr>
        <w:t xml:space="preserve">Será exigida a garantia da contratação de que tratam os </w:t>
      </w:r>
      <w:proofErr w:type="spellStart"/>
      <w:r w:rsidRPr="00D7244D">
        <w:rPr>
          <w:rFonts w:ascii="Times New Roman" w:hAnsi="Times New Roman"/>
          <w:kern w:val="0"/>
          <w:sz w:val="24"/>
          <w:szCs w:val="24"/>
          <w:lang w:eastAsia="pt-BR"/>
        </w:rPr>
        <w:t>arts</w:t>
      </w:r>
      <w:proofErr w:type="spellEnd"/>
      <w:r w:rsidRPr="00D7244D">
        <w:rPr>
          <w:rFonts w:ascii="Times New Roman" w:hAnsi="Times New Roman"/>
          <w:kern w:val="0"/>
          <w:sz w:val="24"/>
          <w:szCs w:val="24"/>
          <w:lang w:eastAsia="pt-BR"/>
        </w:rPr>
        <w:t>. 96 e seguintes da Lei nº 14.133, de 2021, podendo o Contratado optar pela caução em dinheiro ou em títulos da dívida pública, seguro-garantia, fiança bancária ou título de capitalização, em valor correspondente a </w:t>
      </w:r>
      <w:r w:rsidRPr="00D7244D">
        <w:rPr>
          <w:rFonts w:ascii="Times New Roman" w:hAnsi="Times New Roman"/>
          <w:b/>
          <w:bCs/>
          <w:color w:val="FF0000"/>
          <w:kern w:val="0"/>
          <w:sz w:val="24"/>
          <w:szCs w:val="24"/>
          <w:lang w:eastAsia="pt-BR"/>
        </w:rPr>
        <w:t>XX</w:t>
      </w:r>
      <w:r w:rsidRPr="00D7244D">
        <w:rPr>
          <w:rFonts w:ascii="Times New Roman" w:hAnsi="Times New Roman"/>
          <w:color w:val="FF0000"/>
          <w:kern w:val="0"/>
          <w:sz w:val="24"/>
          <w:szCs w:val="24"/>
          <w:lang w:eastAsia="pt-BR"/>
        </w:rPr>
        <w:t>% (</w:t>
      </w:r>
      <w:proofErr w:type="spellStart"/>
      <w:r w:rsidRPr="00D7244D">
        <w:rPr>
          <w:rFonts w:ascii="Times New Roman" w:hAnsi="Times New Roman"/>
          <w:b/>
          <w:bCs/>
          <w:color w:val="FF0000"/>
          <w:kern w:val="0"/>
          <w:sz w:val="24"/>
          <w:szCs w:val="24"/>
          <w:lang w:eastAsia="pt-BR"/>
        </w:rPr>
        <w:t>xxxxx</w:t>
      </w:r>
      <w:proofErr w:type="spellEnd"/>
      <w:r w:rsidRPr="00D7244D">
        <w:rPr>
          <w:rFonts w:ascii="Times New Roman" w:hAnsi="Times New Roman"/>
          <w:color w:val="FF0000"/>
          <w:kern w:val="0"/>
          <w:sz w:val="24"/>
          <w:szCs w:val="24"/>
          <w:lang w:eastAsia="pt-BR"/>
        </w:rPr>
        <w:t> por cento)</w:t>
      </w:r>
      <w:r w:rsidRPr="00D7244D">
        <w:rPr>
          <w:rFonts w:ascii="Times New Roman" w:hAnsi="Times New Roman"/>
          <w:kern w:val="0"/>
          <w:sz w:val="24"/>
          <w:szCs w:val="24"/>
          <w:lang w:eastAsia="pt-BR"/>
        </w:rPr>
        <w:t> do valor </w:t>
      </w:r>
      <w:r w:rsidRPr="00D7244D">
        <w:rPr>
          <w:rFonts w:ascii="Times New Roman" w:hAnsi="Times New Roman"/>
          <w:b/>
          <w:bCs/>
          <w:color w:val="FF0000"/>
          <w:kern w:val="0"/>
          <w:sz w:val="24"/>
          <w:szCs w:val="24"/>
          <w:lang w:eastAsia="pt-BR"/>
        </w:rPr>
        <w:t>[total]</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OU</w:t>
      </w:r>
      <w:r w:rsidRPr="00D7244D">
        <w:rPr>
          <w:rFonts w:ascii="Times New Roman" w:hAnsi="Times New Roman"/>
          <w:color w:val="FF0000"/>
          <w:kern w:val="0"/>
          <w:sz w:val="24"/>
          <w:szCs w:val="24"/>
          <w:lang w:eastAsia="pt-BR"/>
        </w:rPr>
        <w:t> </w:t>
      </w:r>
      <w:r w:rsidRPr="00D7244D">
        <w:rPr>
          <w:rFonts w:ascii="Times New Roman" w:hAnsi="Times New Roman"/>
          <w:b/>
          <w:bCs/>
          <w:color w:val="FF0000"/>
          <w:kern w:val="0"/>
          <w:sz w:val="24"/>
          <w:szCs w:val="24"/>
          <w:lang w:eastAsia="pt-BR"/>
        </w:rPr>
        <w:t>[anual]</w:t>
      </w:r>
      <w:r w:rsidRPr="00D7244D">
        <w:rPr>
          <w:rFonts w:ascii="Times New Roman" w:hAnsi="Times New Roman"/>
          <w:color w:val="FF0000"/>
          <w:kern w:val="0"/>
          <w:sz w:val="24"/>
          <w:szCs w:val="24"/>
          <w:lang w:eastAsia="pt-BR"/>
        </w:rPr>
        <w:t> </w:t>
      </w:r>
      <w:r w:rsidRPr="00D7244D">
        <w:rPr>
          <w:rFonts w:ascii="Times New Roman" w:hAnsi="Times New Roman"/>
          <w:kern w:val="0"/>
          <w:sz w:val="24"/>
          <w:szCs w:val="24"/>
          <w:lang w:eastAsia="pt-BR"/>
        </w:rPr>
        <w:t>da contratação. </w:t>
      </w:r>
    </w:p>
    <w:p w14:paraId="18BF9B94" w14:textId="77777777" w:rsidR="009148D9" w:rsidRPr="00D7244D" w:rsidRDefault="009148D9" w:rsidP="009148D9">
      <w:pPr>
        <w:pStyle w:val="PargrafodaLista"/>
        <w:spacing w:line="276" w:lineRule="auto"/>
        <w:ind w:left="1440"/>
        <w:jc w:val="both"/>
        <w:rPr>
          <w:rFonts w:ascii="Times New Roman" w:hAnsi="Times New Roman"/>
          <w:kern w:val="0"/>
          <w:sz w:val="24"/>
          <w:szCs w:val="24"/>
          <w:lang w:eastAsia="pt-BR"/>
        </w:rPr>
      </w:pPr>
    </w:p>
    <w:p w14:paraId="09C04BD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Garantia, manutenção e assistência técnica</w:t>
      </w:r>
      <w:r>
        <w:rPr>
          <w:rFonts w:ascii="Times New Roman" w:hAnsi="Times New Roman"/>
          <w:b/>
          <w:bCs/>
          <w:kern w:val="0"/>
          <w:sz w:val="24"/>
          <w:szCs w:val="24"/>
          <w:lang w:eastAsia="pt-BR"/>
        </w:rPr>
        <w:t xml:space="preserve"> </w:t>
      </w:r>
      <w:r w:rsidRPr="003D7075">
        <w:rPr>
          <w:rFonts w:ascii="Times New Roman" w:hAnsi="Times New Roman"/>
          <w:b/>
          <w:bCs/>
          <w:color w:val="2E74B5" w:themeColor="accent5" w:themeShade="BF"/>
          <w:kern w:val="0"/>
          <w:sz w:val="24"/>
          <w:szCs w:val="24"/>
          <w:lang w:eastAsia="pt-BR"/>
        </w:rPr>
        <w:t>do Bem</w:t>
      </w:r>
    </w:p>
    <w:tbl>
      <w:tblPr>
        <w:tblW w:w="9064"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4"/>
      </w:tblGrid>
      <w:tr w:rsidR="009148D9" w:rsidRPr="00D7244D" w14:paraId="156BE76F" w14:textId="77777777" w:rsidTr="001E0434">
        <w:trPr>
          <w:tblCellSpacing w:w="7" w:type="dxa"/>
        </w:trPr>
        <w:tc>
          <w:tcPr>
            <w:tcW w:w="9036" w:type="dxa"/>
            <w:tcBorders>
              <w:top w:val="outset" w:sz="6" w:space="0" w:color="auto"/>
              <w:bottom w:val="outset" w:sz="6" w:space="0" w:color="auto"/>
            </w:tcBorders>
            <w:shd w:val="clear" w:color="auto" w:fill="FFFFCC"/>
            <w:vAlign w:val="center"/>
            <w:hideMark/>
          </w:tcPr>
          <w:p w14:paraId="31295C9B"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w:t>
            </w:r>
            <w:r w:rsidRPr="00D7244D">
              <w:rPr>
                <w:rFonts w:ascii="Times New Roman" w:hAnsi="Times New Roman"/>
                <w:kern w:val="0"/>
                <w:sz w:val="24"/>
                <w:szCs w:val="24"/>
                <w:lang w:eastAsia="pt-BR"/>
              </w:rPr>
              <w:t xml:space="preserve"> Fica a critério da Administração exigir - ou não - a garantia contratual dos bens, complementar à garantia legal, mediante a devida fundamentação, a ser exposta neste item do Termo de Referência. Não a exigindo, deverá suprimir o item. </w:t>
            </w:r>
          </w:p>
          <w:p w14:paraId="1AD26B52"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2</w:t>
            </w:r>
            <w:r w:rsidRPr="00D7244D">
              <w:rPr>
                <w:rFonts w:ascii="Times New Roman" w:hAnsi="Times New Roman"/>
                <w:kern w:val="0"/>
                <w:sz w:val="24"/>
                <w:szCs w:val="24"/>
                <w:lang w:eastAsia="pt-BR"/>
              </w:rPr>
              <w:t xml:space="preserve">: O </w:t>
            </w:r>
            <w:hyperlink r:id="rId42" w:tgtFrame="_blank" w:history="1">
              <w:r w:rsidRPr="00D7244D">
                <w:rPr>
                  <w:rFonts w:ascii="Times New Roman" w:hAnsi="Times New Roman"/>
                  <w:color w:val="0000FF"/>
                  <w:kern w:val="0"/>
                  <w:sz w:val="24"/>
                  <w:szCs w:val="24"/>
                  <w:u w:val="single"/>
                  <w:lang w:eastAsia="pt-BR"/>
                </w:rPr>
                <w:t xml:space="preserve">artigo 9º, inciso alínea “d” </w:t>
              </w:r>
            </w:hyperlink>
            <w:hyperlink r:id="rId43" w:tgtFrame="_blank" w:history="1">
              <w:r w:rsidRPr="00D7244D">
                <w:rPr>
                  <w:rFonts w:ascii="Times New Roman" w:hAnsi="Times New Roman"/>
                  <w:color w:val="0000FF"/>
                  <w:kern w:val="0"/>
                  <w:sz w:val="24"/>
                  <w:szCs w:val="24"/>
                  <w:u w:val="single"/>
                  <w:lang w:eastAsia="pt-BR"/>
                </w:rPr>
                <w:t>da IN Seges/ME nº 81</w:t>
              </w:r>
            </w:hyperlink>
            <w:r w:rsidRPr="00D7244D">
              <w:rPr>
                <w:rFonts w:ascii="Times New Roman" w:hAnsi="Times New Roman"/>
                <w:kern w:val="0"/>
                <w:sz w:val="24"/>
                <w:szCs w:val="24"/>
                <w:lang w:eastAsia="pt-BR"/>
              </w:rPr>
              <w:t xml:space="preserve"> de 2022 exige que a inserção no TR Digital da especificação da garantia exigida e das condições de manutenção e assistência técnica, quando for o caso.</w:t>
            </w:r>
          </w:p>
        </w:tc>
      </w:tr>
    </w:tbl>
    <w:p w14:paraId="679A3B1A" w14:textId="77777777" w:rsidR="009148D9" w:rsidRPr="00D7244D"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bookmarkStart w:id="18" w:name="_Hlk175669127"/>
      <w:bookmarkEnd w:id="18"/>
      <w:r w:rsidRPr="00D7244D">
        <w:rPr>
          <w:rFonts w:ascii="Times New Roman" w:hAnsi="Times New Roman"/>
          <w:color w:val="FF0000"/>
          <w:kern w:val="0"/>
          <w:sz w:val="24"/>
          <w:szCs w:val="24"/>
          <w:lang w:eastAsia="pt-BR"/>
        </w:rPr>
        <w:t>O prazo de garantia é aquele estabelecido na Lei nº 8.078, de 11 de setembro de 1990 (Código de Defesa do Consumidor)</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19"/>
      </w:tblGrid>
      <w:tr w:rsidR="009148D9" w:rsidRPr="00D7244D" w14:paraId="2CD45724"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22DA53FA"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w:t>
            </w:r>
            <w:r w:rsidRPr="00D7244D">
              <w:rPr>
                <w:rFonts w:ascii="Times New Roman" w:hAnsi="Times New Roman"/>
                <w:kern w:val="0"/>
                <w:sz w:val="24"/>
                <w:szCs w:val="24"/>
                <w:lang w:eastAsia="pt-BR"/>
              </w:rPr>
              <w:t>Sugere-se esta redação para material de consumo.</w:t>
            </w:r>
          </w:p>
        </w:tc>
      </w:tr>
    </w:tbl>
    <w:p w14:paraId="691FD831" w14:textId="77777777" w:rsidR="009148D9" w:rsidRPr="00D7244D" w:rsidRDefault="009148D9" w:rsidP="009148D9">
      <w:pPr>
        <w:spacing w:line="276" w:lineRule="auto"/>
        <w:jc w:val="center"/>
        <w:rPr>
          <w:rFonts w:ascii="Times New Roman" w:hAnsi="Times New Roman"/>
          <w:kern w:val="0"/>
          <w:sz w:val="24"/>
          <w:szCs w:val="24"/>
          <w:lang w:eastAsia="pt-BR"/>
        </w:rPr>
      </w:pPr>
      <w:r w:rsidRPr="00D7244D">
        <w:rPr>
          <w:rFonts w:ascii="Times New Roman" w:hAnsi="Times New Roman"/>
          <w:b/>
          <w:bCs/>
          <w:color w:val="FF0000"/>
          <w:kern w:val="0"/>
          <w:sz w:val="24"/>
          <w:szCs w:val="24"/>
          <w:lang w:eastAsia="pt-BR"/>
        </w:rPr>
        <w:t>OU</w:t>
      </w:r>
    </w:p>
    <w:p w14:paraId="05B5C105"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bookmarkStart w:id="19" w:name="_Hlk175683455"/>
      <w:bookmarkEnd w:id="19"/>
      <w:r w:rsidRPr="00D7244D">
        <w:rPr>
          <w:rFonts w:ascii="Times New Roman" w:hAnsi="Times New Roman"/>
          <w:color w:val="FF0000"/>
          <w:kern w:val="0"/>
          <w:sz w:val="24"/>
          <w:szCs w:val="24"/>
          <w:lang w:eastAsia="pt-BR"/>
        </w:rPr>
        <w:t xml:space="preserve">O prazo de garantia contratual dos bens, complementar à garantia legal, será de, no mínimo, ___ (____) meses, ou pelo prazo fornecido pelo fabricante, se superior, contado a partir do primeiro dia útil subsequente à data do recebimento definitivo do objeto. </w:t>
      </w:r>
    </w:p>
    <w:p w14:paraId="28BAA1E7"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lastRenderedPageBreak/>
        <w:t>Caso o prazo da garantia oferecida pelo fabricante seja inferior ao estabelecido nesta cláusula, o fornecedor deverá complementar a garantia do bem ofertado pelo período restante.</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88"/>
      </w:tblGrid>
      <w:tr w:rsidR="009148D9" w:rsidRPr="00D7244D" w14:paraId="5B6B44B7"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1AE1E087"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1:  </w:t>
            </w:r>
            <w:r w:rsidRPr="00D7244D">
              <w:rPr>
                <w:rFonts w:ascii="Times New Roman" w:hAnsi="Times New Roman"/>
                <w:kern w:val="0"/>
                <w:sz w:val="24"/>
                <w:szCs w:val="24"/>
                <w:lang w:eastAsia="pt-BR"/>
              </w:rPr>
              <w:t>Sugere-se esta redação para material permanente.</w:t>
            </w:r>
          </w:p>
          <w:p w14:paraId="666F6B10"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 xml:space="preserve">Nota Explicativa 2: </w:t>
            </w:r>
            <w:r w:rsidRPr="00D7244D">
              <w:rPr>
                <w:rFonts w:ascii="Times New Roman" w:hAnsi="Times New Roman"/>
                <w:kern w:val="0"/>
                <w:sz w:val="24"/>
                <w:szCs w:val="24"/>
                <w:lang w:eastAsia="pt-BR"/>
              </w:rPr>
              <w:t>A exigência de garantia, bem como o prazo previsto devem ser justificados nos autos.</w:t>
            </w:r>
          </w:p>
        </w:tc>
      </w:tr>
    </w:tbl>
    <w:p w14:paraId="3D37FCA5"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A garantia será prestada com vistas a manter os equipamentos fornecidos em perfeitas condições de uso, sem qualquer ônus ou custo adicional para o Contratante.</w:t>
      </w:r>
    </w:p>
    <w:p w14:paraId="27E40974"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A garantia abrange a realização da manutenção corretiva dos bens pelo próprio Contratado, ou, se for o caso, por meio de assistência técnica autorizada, de acordo com as normas técnicas específicas.</w:t>
      </w:r>
    </w:p>
    <w:p w14:paraId="724B73DD"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Entende-se por manutenção corretiva aquela destinada a corrigir os defeitos apresentados pelos bens, compreendendo a substituição de peças, a realização de ajustes, reparos e correções necessárias.</w:t>
      </w:r>
    </w:p>
    <w:p w14:paraId="53A8E57D"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w:t>
      </w:r>
    </w:p>
    <w:p w14:paraId="1178BE29"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 xml:space="preserve">Uma vez notificado, o Contratado realizará a reparação ou substituição dos bens que apresentarem vício ou defeito no prazo de até ___ (_____) dias úteis, contados a partir da data de retirada do equipamento das dependências da Administração pelo Contratado ou pela assistência técnica autorizada. </w:t>
      </w:r>
    </w:p>
    <w:p w14:paraId="6023E4E3"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O prazo indicado no subitem anterior, durante seu transcurso, poderá ser prorrogado uma única vez, por igual período, mediante solicitação escrita e justificada do Contratado, aceita pelo Contratante.</w:t>
      </w:r>
    </w:p>
    <w:p w14:paraId="5C10C8EE"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w:t>
      </w:r>
    </w:p>
    <w:p w14:paraId="0AF944F4"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w:t>
      </w:r>
    </w:p>
    <w:p w14:paraId="17D70D19"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O custo referente ao transporte dos equipamentos cobertos pela garantia será de responsabilidade do Contratado.</w:t>
      </w:r>
    </w:p>
    <w:p w14:paraId="301E445C" w14:textId="77777777" w:rsidR="009148D9" w:rsidRPr="003D7075"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3D7075">
        <w:rPr>
          <w:rFonts w:ascii="Times New Roman" w:hAnsi="Times New Roman"/>
          <w:color w:val="FF0000"/>
          <w:kern w:val="0"/>
          <w:sz w:val="24"/>
          <w:szCs w:val="24"/>
          <w:lang w:eastAsia="pt-BR"/>
        </w:rPr>
        <w:t xml:space="preserve">A garantia legal ou contratual do objeto tem prazo de vigência próprio e desvinculado daquele fixado no contrato, permitindo eventual aplicação de </w:t>
      </w:r>
      <w:r w:rsidRPr="003D7075">
        <w:rPr>
          <w:rFonts w:ascii="Times New Roman" w:hAnsi="Times New Roman"/>
          <w:color w:val="FF0000"/>
          <w:kern w:val="0"/>
          <w:sz w:val="24"/>
          <w:szCs w:val="24"/>
          <w:lang w:eastAsia="pt-BR"/>
        </w:rPr>
        <w:lastRenderedPageBreak/>
        <w:t>penalidades em caso de descumprimento de alguma de suas condições, mesmo depois de expirada a vigência contratual.</w:t>
      </w:r>
    </w:p>
    <w:tbl>
      <w:tblPr>
        <w:tblW w:w="9646"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46"/>
      </w:tblGrid>
      <w:tr w:rsidR="009148D9" w:rsidRPr="00D7244D" w14:paraId="43693CF6" w14:textId="77777777" w:rsidTr="001E0434">
        <w:trPr>
          <w:trHeight w:val="1366"/>
          <w:tblCellSpacing w:w="7" w:type="dxa"/>
          <w:jc w:val="center"/>
        </w:trPr>
        <w:tc>
          <w:tcPr>
            <w:tcW w:w="9618" w:type="dxa"/>
            <w:tcBorders>
              <w:top w:val="outset" w:sz="6" w:space="0" w:color="auto"/>
              <w:bottom w:val="outset" w:sz="6" w:space="0" w:color="auto"/>
            </w:tcBorders>
            <w:shd w:val="clear" w:color="auto" w:fill="FFFFCC"/>
            <w:vAlign w:val="center"/>
            <w:hideMark/>
          </w:tcPr>
          <w:p w14:paraId="143153D1"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w:t>
            </w:r>
            <w:r w:rsidRPr="00D7244D">
              <w:rPr>
                <w:rFonts w:ascii="Times New Roman" w:hAnsi="Times New Roman"/>
                <w:kern w:val="0"/>
                <w:sz w:val="24"/>
                <w:szCs w:val="24"/>
                <w:lang w:eastAsia="pt-BR"/>
              </w:rPr>
              <w:t xml:space="preserve"> Desde que fundamentado em estudo técnico preliminar, a Administração poderá exigir que os serviços de manutenção e assistência técnica sejam prestados mediante deslocamento de técnico ou disponibilizados em unidade de prestação de serviços localizada em distância compatível com suas necessidades. (</w:t>
            </w:r>
            <w:hyperlink r:id="rId44" w:tgtFrame="_blank" w:history="1">
              <w:r w:rsidRPr="00D7244D">
                <w:rPr>
                  <w:rFonts w:ascii="Times New Roman" w:hAnsi="Times New Roman"/>
                  <w:color w:val="0000FF"/>
                  <w:kern w:val="0"/>
                  <w:sz w:val="24"/>
                  <w:szCs w:val="24"/>
                  <w:u w:val="single"/>
                  <w:lang w:eastAsia="pt-BR"/>
                </w:rPr>
                <w:t>Art. 40, §4º, Lei nº 14.133, de 2021</w:t>
              </w:r>
            </w:hyperlink>
            <w:r w:rsidRPr="00D7244D">
              <w:rPr>
                <w:rFonts w:ascii="Times New Roman" w:hAnsi="Times New Roman"/>
                <w:kern w:val="0"/>
                <w:sz w:val="24"/>
                <w:szCs w:val="24"/>
                <w:lang w:eastAsia="pt-BR"/>
              </w:rPr>
              <w:t xml:space="preserve">, e </w:t>
            </w:r>
            <w:hyperlink r:id="rId45" w:tgtFrame="_blank" w:history="1">
              <w:r w:rsidRPr="00D7244D">
                <w:rPr>
                  <w:rFonts w:ascii="Times New Roman" w:hAnsi="Times New Roman"/>
                  <w:color w:val="0000FF"/>
                  <w:kern w:val="0"/>
                  <w:sz w:val="24"/>
                  <w:szCs w:val="24"/>
                  <w:u w:val="single"/>
                  <w:lang w:eastAsia="pt-BR"/>
                </w:rPr>
                <w:t>art. 10, inciso II, da Instrução Normativa SEGES/ME nº 58, de 2022</w:t>
              </w:r>
            </w:hyperlink>
            <w:r w:rsidRPr="00D7244D">
              <w:rPr>
                <w:rFonts w:ascii="Times New Roman" w:hAnsi="Times New Roman"/>
                <w:kern w:val="0"/>
                <w:sz w:val="24"/>
                <w:szCs w:val="24"/>
                <w:lang w:eastAsia="pt-BR"/>
              </w:rPr>
              <w:t>).</w:t>
            </w:r>
          </w:p>
        </w:tc>
      </w:tr>
    </w:tbl>
    <w:p w14:paraId="37548082" w14:textId="77777777" w:rsidR="009148D9" w:rsidRPr="00D7244D"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Da Fiscalização:</w:t>
      </w:r>
    </w:p>
    <w:p w14:paraId="3FD2DE95" w14:textId="77777777" w:rsidR="009148D9" w:rsidRDefault="009148D9" w:rsidP="00DC07C2">
      <w:pPr>
        <w:pStyle w:val="PargrafodaLista"/>
        <w:numPr>
          <w:ilvl w:val="2"/>
          <w:numId w:val="9"/>
        </w:numPr>
        <w:tabs>
          <w:tab w:val="left" w:pos="993"/>
        </w:tabs>
        <w:spacing w:line="276" w:lineRule="auto"/>
        <w:ind w:left="1134"/>
        <w:jc w:val="both"/>
        <w:rPr>
          <w:rFonts w:ascii="Times New Roman" w:hAnsi="Times New Roman"/>
          <w:kern w:val="0"/>
          <w:sz w:val="24"/>
          <w:szCs w:val="24"/>
          <w:lang w:eastAsia="pt-BR"/>
        </w:rPr>
      </w:pPr>
      <w:r w:rsidRPr="0090313E">
        <w:rPr>
          <w:rFonts w:ascii="Times New Roman" w:hAnsi="Times New Roman"/>
          <w:kern w:val="0"/>
          <w:sz w:val="24"/>
          <w:szCs w:val="24"/>
          <w:lang w:eastAsia="pt-BR"/>
        </w:rPr>
        <w:t>As exigências de Fiscalização já se encontram previstas na Parte Geral da minuta-padrão do Contrato da Procuradoria Geral do Estado do Piauí - PGE.</w:t>
      </w:r>
    </w:p>
    <w:p w14:paraId="17B1CE6D" w14:textId="77777777" w:rsidR="009148D9" w:rsidRPr="0090313E" w:rsidRDefault="009148D9" w:rsidP="00DC07C2">
      <w:pPr>
        <w:pStyle w:val="PargrafodaLista"/>
        <w:numPr>
          <w:ilvl w:val="2"/>
          <w:numId w:val="9"/>
        </w:numPr>
        <w:tabs>
          <w:tab w:val="left" w:pos="993"/>
        </w:tabs>
        <w:spacing w:line="276" w:lineRule="auto"/>
        <w:ind w:left="1134"/>
        <w:jc w:val="both"/>
        <w:rPr>
          <w:rFonts w:ascii="Times New Roman" w:hAnsi="Times New Roman"/>
          <w:kern w:val="0"/>
          <w:sz w:val="24"/>
          <w:szCs w:val="24"/>
          <w:lang w:eastAsia="pt-BR"/>
        </w:rPr>
      </w:pPr>
      <w:r w:rsidRPr="0090313E">
        <w:rPr>
          <w:rFonts w:ascii="Times New Roman" w:hAnsi="Times New Roman"/>
          <w:color w:val="FF0000"/>
          <w:kern w:val="0"/>
          <w:sz w:val="24"/>
          <w:szCs w:val="24"/>
          <w:lang w:eastAsia="pt-BR"/>
        </w:rPr>
        <w:t>Fiscalização específica:</w:t>
      </w:r>
    </w:p>
    <w:p w14:paraId="1B48EC57" w14:textId="77777777" w:rsidR="009148D9" w:rsidRPr="00D7244D" w:rsidRDefault="009148D9" w:rsidP="00DC07C2">
      <w:pPr>
        <w:pStyle w:val="PargrafodaLista"/>
        <w:numPr>
          <w:ilvl w:val="3"/>
          <w:numId w:val="9"/>
        </w:numPr>
        <w:tabs>
          <w:tab w:val="left" w:pos="1843"/>
        </w:tabs>
        <w:spacing w:line="276" w:lineRule="auto"/>
        <w:ind w:left="1843"/>
        <w:jc w:val="both"/>
        <w:rPr>
          <w:rFonts w:ascii="Times New Roman" w:hAnsi="Times New Roman"/>
          <w:kern w:val="0"/>
          <w:sz w:val="24"/>
          <w:szCs w:val="24"/>
          <w:lang w:eastAsia="pt-BR"/>
        </w:rPr>
      </w:pPr>
      <w:r w:rsidRPr="00D7244D">
        <w:rPr>
          <w:rFonts w:ascii="Times New Roman" w:hAnsi="Times New Roman"/>
          <w:color w:val="FF0000"/>
          <w:kern w:val="0"/>
          <w:sz w:val="24"/>
          <w:szCs w:val="24"/>
          <w:lang w:eastAsia="pt-BR"/>
        </w:rPr>
        <w:t>[...]</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19"/>
      </w:tblGrid>
      <w:tr w:rsidR="009148D9" w:rsidRPr="00D7244D" w14:paraId="1B98F071" w14:textId="77777777" w:rsidTr="001E0434">
        <w:trPr>
          <w:tblCellSpacing w:w="7" w:type="dxa"/>
        </w:trPr>
        <w:tc>
          <w:tcPr>
            <w:tcW w:w="0" w:type="auto"/>
            <w:tcBorders>
              <w:top w:val="outset" w:sz="6" w:space="0" w:color="auto"/>
              <w:bottom w:val="outset" w:sz="6" w:space="0" w:color="auto"/>
            </w:tcBorders>
            <w:shd w:val="clear" w:color="auto" w:fill="FFFFCC"/>
            <w:vAlign w:val="center"/>
            <w:hideMark/>
          </w:tcPr>
          <w:p w14:paraId="579F76AF" w14:textId="77777777" w:rsidR="009148D9" w:rsidRPr="00D7244D" w:rsidRDefault="009148D9" w:rsidP="001E0434">
            <w:pPr>
              <w:spacing w:line="276" w:lineRule="auto"/>
              <w:jc w:val="both"/>
              <w:rPr>
                <w:rFonts w:ascii="Times New Roman" w:hAnsi="Times New Roman"/>
                <w:kern w:val="0"/>
                <w:sz w:val="24"/>
                <w:szCs w:val="24"/>
                <w:lang w:eastAsia="pt-BR"/>
              </w:rPr>
            </w:pPr>
            <w:r w:rsidRPr="00D7244D">
              <w:rPr>
                <w:rFonts w:ascii="Times New Roman" w:hAnsi="Times New Roman"/>
                <w:b/>
                <w:bCs/>
                <w:kern w:val="0"/>
                <w:sz w:val="24"/>
                <w:szCs w:val="24"/>
                <w:lang w:eastAsia="pt-BR"/>
              </w:rPr>
              <w:t>Nota Explicativa 1:</w:t>
            </w:r>
            <w:r w:rsidRPr="00D7244D">
              <w:rPr>
                <w:rFonts w:ascii="Times New Roman" w:hAnsi="Times New Roman"/>
                <w:kern w:val="0"/>
                <w:sz w:val="24"/>
                <w:szCs w:val="24"/>
                <w:lang w:eastAsia="pt-BR"/>
              </w:rPr>
              <w:t> Deve ser descrito rotinas de fiscalização específica, caso possua.</w:t>
            </w:r>
          </w:p>
        </w:tc>
      </w:tr>
    </w:tbl>
    <w:p w14:paraId="554CE2DC" w14:textId="77777777" w:rsidR="009148D9" w:rsidRPr="00442E94" w:rsidRDefault="009148D9" w:rsidP="009148D9">
      <w:pPr>
        <w:pStyle w:val="PargrafodaLista"/>
        <w:spacing w:line="276" w:lineRule="auto"/>
        <w:ind w:left="540"/>
        <w:jc w:val="both"/>
        <w:rPr>
          <w:rFonts w:ascii="Times New Roman" w:hAnsi="Times New Roman"/>
          <w:kern w:val="0"/>
          <w:sz w:val="24"/>
          <w:szCs w:val="24"/>
          <w:lang w:eastAsia="pt-BR"/>
        </w:rPr>
      </w:pPr>
    </w:p>
    <w:p w14:paraId="01A7FA87" w14:textId="77777777" w:rsidR="009148D9" w:rsidRPr="00442E94"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442E94">
        <w:rPr>
          <w:rFonts w:ascii="Times New Roman" w:hAnsi="Times New Roman"/>
          <w:b/>
          <w:bCs/>
          <w:kern w:val="0"/>
          <w:sz w:val="24"/>
          <w:szCs w:val="24"/>
          <w:lang w:eastAsia="pt-BR"/>
        </w:rPr>
        <w:t>DAS OBRIGAÇÕES DO CONTRATANTE:</w:t>
      </w:r>
    </w:p>
    <w:p w14:paraId="2442B009" w14:textId="77777777" w:rsidR="009148D9" w:rsidRPr="00974718"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974718">
        <w:rPr>
          <w:rFonts w:ascii="Times New Roman" w:hAnsi="Times New Roman"/>
          <w:kern w:val="0"/>
          <w:sz w:val="24"/>
          <w:szCs w:val="24"/>
          <w:lang w:eastAsia="pt-BR"/>
        </w:rPr>
        <w:t>As obrigações gerais da contratante já se encontram-se previstas na minuta-padrão de CONTRATO PADRÃO – LEI N. 14.133/2021 – BENS E SERVIÇOS, da Procuradoria Geral do Estado do Piauí - PGE.</w:t>
      </w:r>
    </w:p>
    <w:p w14:paraId="2D681C71"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b/>
          <w:bCs/>
          <w:color w:val="FF0000"/>
          <w:kern w:val="0"/>
          <w:sz w:val="24"/>
          <w:szCs w:val="24"/>
          <w:lang w:eastAsia="pt-BR"/>
        </w:rPr>
        <w:t>Obrigações Específicas:</w:t>
      </w:r>
    </w:p>
    <w:p w14:paraId="0E17F1DC" w14:textId="77777777" w:rsidR="009148D9" w:rsidRPr="00A93580" w:rsidRDefault="009148D9" w:rsidP="00DC07C2">
      <w:pPr>
        <w:pStyle w:val="PargrafodaLista"/>
        <w:numPr>
          <w:ilvl w:val="2"/>
          <w:numId w:val="9"/>
        </w:numPr>
        <w:tabs>
          <w:tab w:val="left" w:pos="1560"/>
        </w:tabs>
        <w:spacing w:line="276" w:lineRule="auto"/>
        <w:ind w:left="1276"/>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Descrever obrigações específicas caso exista. </w:t>
      </w:r>
    </w:p>
    <w:p w14:paraId="47A635BD" w14:textId="77777777" w:rsidR="009148D9" w:rsidRPr="00A93580" w:rsidRDefault="009148D9" w:rsidP="009148D9">
      <w:pPr>
        <w:pStyle w:val="PargrafodaLista"/>
        <w:spacing w:line="276" w:lineRule="auto"/>
        <w:ind w:left="1800"/>
        <w:jc w:val="both"/>
        <w:rPr>
          <w:rFonts w:ascii="Times New Roman" w:hAnsi="Times New Roman"/>
          <w:kern w:val="0"/>
          <w:sz w:val="24"/>
          <w:szCs w:val="24"/>
          <w:lang w:eastAsia="pt-BR"/>
        </w:rPr>
      </w:pPr>
    </w:p>
    <w:p w14:paraId="4E686751"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F70285">
        <w:rPr>
          <w:rFonts w:ascii="Times New Roman" w:hAnsi="Times New Roman"/>
          <w:b/>
          <w:bCs/>
          <w:kern w:val="0"/>
          <w:sz w:val="24"/>
          <w:szCs w:val="24"/>
          <w:lang w:eastAsia="pt-BR"/>
        </w:rPr>
        <w:t>DAS OBRIGAÇÕES DA CONTRATADA:</w:t>
      </w:r>
    </w:p>
    <w:p w14:paraId="165073E2" w14:textId="77777777" w:rsidR="009148D9"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kern w:val="0"/>
          <w:sz w:val="24"/>
          <w:szCs w:val="24"/>
          <w:lang w:eastAsia="pt-BR"/>
        </w:rPr>
        <w:t xml:space="preserve">As obrigações gerais da contratada já se encontram-se previstas na minuta-padrão de CONTRATO PADRÃO – LEI N. 14.133/2021 – BENS E SERVIÇOS, da Procuradoria Geral do Estado do Piauí </w:t>
      </w:r>
      <w:r>
        <w:rPr>
          <w:rFonts w:ascii="Times New Roman" w:hAnsi="Times New Roman"/>
          <w:kern w:val="0"/>
          <w:sz w:val="24"/>
          <w:szCs w:val="24"/>
          <w:lang w:eastAsia="pt-BR"/>
        </w:rPr>
        <w:t>–</w:t>
      </w:r>
      <w:r w:rsidRPr="00A93580">
        <w:rPr>
          <w:rFonts w:ascii="Times New Roman" w:hAnsi="Times New Roman"/>
          <w:kern w:val="0"/>
          <w:sz w:val="24"/>
          <w:szCs w:val="24"/>
          <w:lang w:eastAsia="pt-BR"/>
        </w:rPr>
        <w:t xml:space="preserve"> PGE</w:t>
      </w:r>
      <w:r>
        <w:rPr>
          <w:rFonts w:ascii="Times New Roman" w:hAnsi="Times New Roman"/>
          <w:kern w:val="0"/>
          <w:sz w:val="24"/>
          <w:szCs w:val="24"/>
          <w:lang w:eastAsia="pt-BR"/>
        </w:rPr>
        <w:t>.</w:t>
      </w:r>
    </w:p>
    <w:p w14:paraId="277A5655"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kern w:val="0"/>
          <w:sz w:val="24"/>
          <w:szCs w:val="24"/>
          <w:lang w:eastAsia="pt-BR"/>
        </w:rPr>
      </w:pPr>
      <w:r w:rsidRPr="00A93580">
        <w:rPr>
          <w:rFonts w:ascii="Times New Roman" w:hAnsi="Times New Roman"/>
          <w:b/>
          <w:bCs/>
          <w:color w:val="FF0000"/>
          <w:kern w:val="0"/>
          <w:sz w:val="24"/>
          <w:szCs w:val="24"/>
          <w:lang w:eastAsia="pt-BR"/>
        </w:rPr>
        <w:t>Obrigações específicas: </w:t>
      </w:r>
    </w:p>
    <w:p w14:paraId="1B4EBB52" w14:textId="77777777" w:rsidR="009148D9" w:rsidRPr="00A93580" w:rsidRDefault="009148D9" w:rsidP="00DC07C2">
      <w:pPr>
        <w:pStyle w:val="PargrafodaLista"/>
        <w:numPr>
          <w:ilvl w:val="2"/>
          <w:numId w:val="9"/>
        </w:numPr>
        <w:tabs>
          <w:tab w:val="left" w:pos="1560"/>
        </w:tabs>
        <w:spacing w:line="276" w:lineRule="auto"/>
        <w:ind w:left="1276"/>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Descrever obrigações específicas caso exista. </w:t>
      </w:r>
    </w:p>
    <w:p w14:paraId="3674F45C" w14:textId="77777777" w:rsidR="009148D9" w:rsidRPr="00A93580" w:rsidRDefault="009148D9" w:rsidP="009148D9">
      <w:pPr>
        <w:pStyle w:val="PargrafodaLista"/>
        <w:spacing w:line="276" w:lineRule="auto"/>
        <w:ind w:left="1800"/>
        <w:jc w:val="both"/>
        <w:rPr>
          <w:rFonts w:ascii="Times New Roman" w:hAnsi="Times New Roman"/>
          <w:kern w:val="0"/>
          <w:sz w:val="24"/>
          <w:szCs w:val="24"/>
          <w:lang w:eastAsia="pt-BR"/>
        </w:rPr>
      </w:pPr>
    </w:p>
    <w:p w14:paraId="3FCF3068"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DA LEI GERAL DE PROTEÇÃO DE DADOS (LGPD):</w:t>
      </w:r>
    </w:p>
    <w:p w14:paraId="0A80EE76"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As disposições da aplicabilidade da Lei Geral de Proteção de dados encontram-se previstas na cláusula dezesseis da parte geral da minuta-padrão de contrato da Procuradoria Geral do Estado do Piauí - PGE.</w:t>
      </w:r>
    </w:p>
    <w:p w14:paraId="0F48CED5" w14:textId="77777777" w:rsidR="009148D9" w:rsidRPr="00A93580" w:rsidRDefault="009148D9" w:rsidP="009148D9">
      <w:pPr>
        <w:pStyle w:val="PargrafodaLista"/>
        <w:spacing w:before="120" w:after="120" w:line="276" w:lineRule="auto"/>
        <w:ind w:left="900"/>
        <w:jc w:val="both"/>
        <w:rPr>
          <w:rFonts w:ascii="Times New Roman" w:hAnsi="Times New Roman"/>
          <w:b/>
          <w:bCs/>
          <w:kern w:val="0"/>
          <w:sz w:val="24"/>
          <w:szCs w:val="24"/>
          <w:lang w:eastAsia="pt-BR"/>
        </w:rPr>
      </w:pPr>
    </w:p>
    <w:p w14:paraId="77336A10"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DOS CRITÉRIOS E PRAZOS DE MEDIÇÃO E DE PAGAMENTO:</w:t>
      </w:r>
    </w:p>
    <w:p w14:paraId="0A78D9DB" w14:textId="77777777" w:rsidR="009148D9" w:rsidRPr="00A93580"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Os critérios de medição de pagamento encontram-se previstos na cláusula quinta da parte geral da minuta-padrão de contrato da Procuradoria Geral do Estado do Piauí - PGE.</w:t>
      </w:r>
    </w:p>
    <w:p w14:paraId="594A6BB7" w14:textId="77777777" w:rsidR="009148D9" w:rsidRDefault="009148D9" w:rsidP="00DC07C2">
      <w:pPr>
        <w:pStyle w:val="PargrafodaLista"/>
        <w:numPr>
          <w:ilvl w:val="1"/>
          <w:numId w:val="9"/>
        </w:numPr>
        <w:tabs>
          <w:tab w:val="left" w:pos="993"/>
        </w:tabs>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Do reajuste: </w:t>
      </w:r>
    </w:p>
    <w:p w14:paraId="17133E6C" w14:textId="77777777" w:rsidR="009148D9" w:rsidRPr="00A93580" w:rsidRDefault="009148D9" w:rsidP="00DC07C2">
      <w:pPr>
        <w:pStyle w:val="PargrafodaLista"/>
        <w:numPr>
          <w:ilvl w:val="2"/>
          <w:numId w:val="9"/>
        </w:numPr>
        <w:spacing w:line="276" w:lineRule="auto"/>
        <w:ind w:left="1134"/>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Os preços inicialmente contratados são fixos e irreajustáveis no prazo de um ano contado da data limite para a apresentação das propostas.</w:t>
      </w:r>
    </w:p>
    <w:p w14:paraId="584E8123" w14:textId="77777777" w:rsidR="009148D9" w:rsidRPr="00A93580" w:rsidRDefault="009148D9" w:rsidP="00DC07C2">
      <w:pPr>
        <w:pStyle w:val="PargrafodaLista"/>
        <w:numPr>
          <w:ilvl w:val="2"/>
          <w:numId w:val="9"/>
        </w:numPr>
        <w:spacing w:line="276" w:lineRule="auto"/>
        <w:ind w:left="1134"/>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lastRenderedPageBreak/>
        <w:t>Para fins de reajuste do valor contratual será utilizado o </w:t>
      </w:r>
      <w:r w:rsidRPr="00A93580">
        <w:rPr>
          <w:rFonts w:ascii="Times New Roman" w:hAnsi="Times New Roman"/>
          <w:b/>
          <w:bCs/>
          <w:color w:val="FF0000"/>
          <w:kern w:val="0"/>
          <w:sz w:val="24"/>
          <w:szCs w:val="24"/>
          <w:lang w:eastAsia="pt-BR"/>
        </w:rPr>
        <w:t>[indicar o índice]</w:t>
      </w:r>
      <w:r w:rsidRPr="00A93580">
        <w:rPr>
          <w:rFonts w:ascii="Times New Roman" w:hAnsi="Times New Roman"/>
          <w:color w:val="FF0000"/>
          <w:kern w:val="0"/>
          <w:sz w:val="24"/>
          <w:szCs w:val="24"/>
          <w:lang w:eastAsia="pt-BR"/>
        </w:rPr>
        <w:t>,</w:t>
      </w:r>
      <w:r w:rsidRPr="00A93580">
        <w:rPr>
          <w:rFonts w:ascii="Times New Roman" w:hAnsi="Times New Roman"/>
          <w:kern w:val="0"/>
          <w:sz w:val="24"/>
          <w:szCs w:val="24"/>
          <w:lang w:eastAsia="pt-BR"/>
        </w:rPr>
        <w:t xml:space="preserve"> exclusivamente para as obrigações iniciadas e concluídas após a ocorrência da anualidade.</w:t>
      </w:r>
    </w:p>
    <w:p w14:paraId="56BCF5A1" w14:textId="77777777" w:rsidR="009148D9" w:rsidRPr="00A93580" w:rsidRDefault="009148D9" w:rsidP="009148D9">
      <w:pPr>
        <w:pStyle w:val="PargrafodaLista"/>
        <w:spacing w:line="276" w:lineRule="auto"/>
        <w:ind w:left="1800"/>
        <w:jc w:val="both"/>
        <w:rPr>
          <w:rFonts w:ascii="Times New Roman" w:hAnsi="Times New Roman"/>
          <w:b/>
          <w:bCs/>
          <w:kern w:val="0"/>
          <w:sz w:val="24"/>
          <w:szCs w:val="24"/>
          <w:lang w:eastAsia="pt-BR"/>
        </w:rPr>
      </w:pPr>
    </w:p>
    <w:p w14:paraId="2A27FA21"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 ALOCAÇÃO DE RISCOS: </w:t>
      </w:r>
    </w:p>
    <w:p w14:paraId="5AB39941"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A93580">
        <w:rPr>
          <w:rFonts w:ascii="Times New Roman" w:hAnsi="Times New Roman"/>
          <w:kern w:val="0"/>
          <w:sz w:val="24"/>
          <w:szCs w:val="24"/>
          <w:lang w:eastAsia="pt-BR"/>
        </w:rPr>
        <w:t xml:space="preserve">Conceitua-se </w:t>
      </w:r>
      <w:r w:rsidRPr="00A93580">
        <w:rPr>
          <w:rFonts w:ascii="Times New Roman" w:hAnsi="Times New Roman"/>
          <w:color w:val="FF0000"/>
          <w:kern w:val="0"/>
          <w:sz w:val="24"/>
          <w:szCs w:val="24"/>
          <w:lang w:eastAsia="pt-BR"/>
        </w:rPr>
        <w:t>Matriz de Risco</w:t>
      </w:r>
      <w:r w:rsidRPr="00A93580">
        <w:rPr>
          <w:rFonts w:ascii="Times New Roman" w:hAnsi="Times New Roman"/>
          <w:kern w:val="0"/>
          <w:sz w:val="24"/>
          <w:szCs w:val="24"/>
          <w:lang w:eastAsia="pt-BR"/>
        </w:rPr>
        <w:t xml:space="preserve"> como cláusula contratual, sendo caracterizadora do equilíbrio econômico-financeiro inicial do contrato, que tem por objetivo alocar às partes (contratante e contratada), de forma prévia e acertada, as responsabilidades pelos riscos relacionados a eventos supervenientes à contratação.</w:t>
      </w:r>
    </w:p>
    <w:p w14:paraId="370B4794"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Assim, as responsabilidades das partes, sem prejuízo das demais obrigações constantes neste Termo de Referência, estão previstas na </w:t>
      </w:r>
      <w:r w:rsidRPr="00974718">
        <w:rPr>
          <w:rFonts w:ascii="Times New Roman" w:hAnsi="Times New Roman"/>
          <w:color w:val="FF0000"/>
          <w:kern w:val="0"/>
          <w:sz w:val="24"/>
          <w:szCs w:val="24"/>
          <w:lang w:eastAsia="pt-BR"/>
        </w:rPr>
        <w:t>Matriz de Riscos - </w:t>
      </w:r>
      <w:r w:rsidRPr="00974718">
        <w:rPr>
          <w:rFonts w:ascii="Times New Roman" w:hAnsi="Times New Roman"/>
          <w:b/>
          <w:bCs/>
          <w:color w:val="FF0000"/>
          <w:kern w:val="0"/>
          <w:sz w:val="24"/>
          <w:szCs w:val="24"/>
          <w:lang w:eastAsia="pt-BR"/>
        </w:rPr>
        <w:t>ANEXO XX</w:t>
      </w:r>
      <w:r w:rsidRPr="00974718">
        <w:rPr>
          <w:rFonts w:ascii="Times New Roman" w:hAnsi="Times New Roman"/>
          <w:color w:val="FF0000"/>
          <w:kern w:val="0"/>
          <w:sz w:val="24"/>
          <w:szCs w:val="24"/>
          <w:lang w:eastAsia="pt-BR"/>
        </w:rPr>
        <w:t> </w:t>
      </w:r>
      <w:r w:rsidRPr="00974718">
        <w:rPr>
          <w:rFonts w:ascii="Times New Roman" w:hAnsi="Times New Roman"/>
          <w:kern w:val="0"/>
          <w:sz w:val="24"/>
          <w:szCs w:val="24"/>
          <w:lang w:eastAsia="pt-BR"/>
        </w:rPr>
        <w:t>deste Termo de Referência</w:t>
      </w:r>
      <w:r w:rsidRPr="00974718">
        <w:rPr>
          <w:rFonts w:ascii="Times New Roman" w:hAnsi="Times New Roman"/>
          <w:b/>
          <w:bCs/>
          <w:kern w:val="0"/>
          <w:sz w:val="24"/>
          <w:szCs w:val="24"/>
          <w:lang w:eastAsia="pt-BR"/>
        </w:rPr>
        <w:t> </w:t>
      </w:r>
      <w:r w:rsidRPr="00974718">
        <w:rPr>
          <w:rFonts w:ascii="Times New Roman" w:hAnsi="Times New Roman"/>
          <w:kern w:val="0"/>
          <w:sz w:val="24"/>
          <w:szCs w:val="24"/>
          <w:lang w:eastAsia="pt-BR"/>
        </w:rPr>
        <w:t>e na minuta de</w:t>
      </w:r>
      <w:r w:rsidRPr="00974718">
        <w:rPr>
          <w:rFonts w:ascii="Times New Roman" w:hAnsi="Times New Roman"/>
          <w:b/>
          <w:bCs/>
          <w:kern w:val="0"/>
          <w:sz w:val="24"/>
          <w:szCs w:val="24"/>
          <w:lang w:eastAsia="pt-BR"/>
        </w:rPr>
        <w:t> </w:t>
      </w:r>
      <w:r w:rsidRPr="00974718">
        <w:rPr>
          <w:rFonts w:ascii="Times New Roman" w:hAnsi="Times New Roman"/>
          <w:kern w:val="0"/>
          <w:sz w:val="24"/>
          <w:szCs w:val="24"/>
          <w:lang w:eastAsia="pt-BR"/>
        </w:rPr>
        <w:t>contrato. </w:t>
      </w:r>
    </w:p>
    <w:p w14:paraId="46C5C0FF" w14:textId="77777777" w:rsidR="009148D9" w:rsidRPr="00974718"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Caso as situações descritas na </w:t>
      </w:r>
      <w:r w:rsidRPr="00974718">
        <w:rPr>
          <w:rFonts w:ascii="Times New Roman" w:hAnsi="Times New Roman"/>
          <w:color w:val="FF0000"/>
          <w:kern w:val="0"/>
          <w:sz w:val="24"/>
          <w:szCs w:val="24"/>
          <w:lang w:eastAsia="pt-BR"/>
        </w:rPr>
        <w:t>Matriz de riscos</w:t>
      </w:r>
      <w:r w:rsidRPr="00974718">
        <w:rPr>
          <w:rFonts w:ascii="Times New Roman" w:hAnsi="Times New Roman"/>
          <w:kern w:val="0"/>
          <w:sz w:val="24"/>
          <w:szCs w:val="24"/>
          <w:lang w:eastAsia="pt-BR"/>
        </w:rPr>
        <w:t xml:space="preserve"> venham a ocorrer, poderão ser adotadas as providências a seguir:</w:t>
      </w:r>
    </w:p>
    <w:p w14:paraId="2B89D460"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Utilização de seguros obrigatórios previamente definidos no contrato;</w:t>
      </w:r>
    </w:p>
    <w:p w14:paraId="61A52344"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Restabelecimento da equação econômico-financeira do contrato nos casos em que o sinistro seja considerado na matriz de riscos como causa de desequilíbrio não suportada pela parte que pretenda o restabelecimento;</w:t>
      </w:r>
    </w:p>
    <w:p w14:paraId="1746D0FB"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Resolução do contrato quando o sinistro majorar excessivamente ou impedir a continuidade da execução contratual.</w:t>
      </w:r>
    </w:p>
    <w:p w14:paraId="12CBE888" w14:textId="77777777" w:rsidR="009148D9" w:rsidRDefault="009148D9" w:rsidP="00DC07C2">
      <w:pPr>
        <w:pStyle w:val="PargrafodaLista"/>
        <w:numPr>
          <w:ilvl w:val="1"/>
          <w:numId w:val="9"/>
        </w:numPr>
        <w:spacing w:line="276" w:lineRule="auto"/>
        <w:ind w:left="426" w:hanging="207"/>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Foram previstas três formas de alocação de riscos, conforme </w:t>
      </w:r>
      <w:r w:rsidRPr="00220682">
        <w:rPr>
          <w:rFonts w:ascii="Times New Roman" w:hAnsi="Times New Roman"/>
          <w:color w:val="FF0000"/>
          <w:kern w:val="0"/>
          <w:sz w:val="24"/>
          <w:szCs w:val="24"/>
          <w:lang w:eastAsia="pt-BR"/>
        </w:rPr>
        <w:t>Matriz de Risco - </w:t>
      </w:r>
      <w:r w:rsidRPr="00220682">
        <w:rPr>
          <w:rFonts w:ascii="Times New Roman" w:hAnsi="Times New Roman"/>
          <w:b/>
          <w:bCs/>
          <w:color w:val="FF0000"/>
          <w:kern w:val="0"/>
          <w:sz w:val="24"/>
          <w:szCs w:val="24"/>
          <w:lang w:eastAsia="pt-BR"/>
        </w:rPr>
        <w:t>ANEXO XX</w:t>
      </w:r>
      <w:r w:rsidRPr="00220682">
        <w:rPr>
          <w:rFonts w:ascii="Times New Roman" w:hAnsi="Times New Roman"/>
          <w:b/>
          <w:bCs/>
          <w:kern w:val="0"/>
          <w:sz w:val="24"/>
          <w:szCs w:val="24"/>
          <w:lang w:eastAsia="pt-BR"/>
        </w:rPr>
        <w:t> </w:t>
      </w:r>
      <w:r w:rsidRPr="00220682">
        <w:rPr>
          <w:rFonts w:ascii="Times New Roman" w:hAnsi="Times New Roman"/>
          <w:kern w:val="0"/>
          <w:sz w:val="24"/>
          <w:szCs w:val="24"/>
          <w:lang w:eastAsia="pt-BR"/>
        </w:rPr>
        <w:t>deste Termo de Referência, quais sejam:</w:t>
      </w:r>
    </w:p>
    <w:p w14:paraId="33A4577D"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ao Contratante: riscos que são assumidos e gerenciados pelo contratante.</w:t>
      </w:r>
    </w:p>
    <w:p w14:paraId="42BD2516"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à Contratada: riscos que são transferidos à contratada.</w:t>
      </w:r>
    </w:p>
    <w:p w14:paraId="6D448C30" w14:textId="77777777" w:rsidR="009148D9" w:rsidRPr="00A93580"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974718">
        <w:rPr>
          <w:rFonts w:ascii="Times New Roman" w:hAnsi="Times New Roman"/>
          <w:kern w:val="0"/>
          <w:sz w:val="24"/>
          <w:szCs w:val="24"/>
          <w:lang w:eastAsia="pt-BR"/>
        </w:rPr>
        <w:t>Alocação Compartilhada: riscos atribuídos entre Contratante e Contratada. </w:t>
      </w:r>
    </w:p>
    <w:p w14:paraId="79C30D69"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A transferência foi feita por meio de consideração de reserva de contingência proporcional ao risco de materialização do evento apontado e impacto financeiro ao orçamento estimado.</w:t>
      </w:r>
    </w:p>
    <w:p w14:paraId="4AE67EA3" w14:textId="77777777" w:rsidR="009148D9" w:rsidRDefault="009148D9" w:rsidP="00DC07C2">
      <w:pPr>
        <w:pStyle w:val="PargrafodaLista"/>
        <w:numPr>
          <w:ilvl w:val="2"/>
          <w:numId w:val="9"/>
        </w:numPr>
        <w:tabs>
          <w:tab w:val="left" w:pos="1560"/>
        </w:tabs>
        <w:spacing w:line="276" w:lineRule="auto"/>
        <w:ind w:left="993" w:hanging="142"/>
        <w:jc w:val="both"/>
        <w:rPr>
          <w:rFonts w:ascii="Times New Roman" w:hAnsi="Times New Roman"/>
          <w:kern w:val="0"/>
          <w:sz w:val="24"/>
          <w:szCs w:val="24"/>
          <w:lang w:eastAsia="pt-BR"/>
        </w:rPr>
      </w:pPr>
      <w:r w:rsidRPr="00A93580">
        <w:rPr>
          <w:rFonts w:ascii="Times New Roman" w:hAnsi="Times New Roman"/>
          <w:kern w:val="0"/>
          <w:sz w:val="24"/>
          <w:szCs w:val="24"/>
          <w:lang w:eastAsia="pt-BR"/>
        </w:rPr>
        <w:t>De forma complementar foi prevista a participação de Seguradora nestas alocações mediante a contratação dos seguros previstos em no edital e no contrato, além de outros complementares que a contratada opte por contratar.</w:t>
      </w:r>
    </w:p>
    <w:p w14:paraId="0795190C" w14:textId="77777777" w:rsidR="009148D9" w:rsidRPr="00A93580" w:rsidRDefault="009148D9" w:rsidP="009148D9">
      <w:pPr>
        <w:pStyle w:val="PargrafodaLista"/>
        <w:spacing w:before="120" w:after="120" w:line="276" w:lineRule="auto"/>
        <w:ind w:left="1800"/>
        <w:jc w:val="both"/>
        <w:rPr>
          <w:rFonts w:ascii="Times New Roman" w:hAnsi="Times New Roman"/>
          <w:kern w:val="0"/>
          <w:sz w:val="24"/>
          <w:szCs w:val="24"/>
          <w:lang w:eastAsia="pt-BR"/>
        </w:rPr>
      </w:pPr>
    </w:p>
    <w:p w14:paraId="7DEE8F10"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SANÇÕES ADMINISTRATIVAS:</w:t>
      </w:r>
    </w:p>
    <w:p w14:paraId="43F3515F" w14:textId="77777777" w:rsidR="009148D9"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A93580">
        <w:rPr>
          <w:rFonts w:ascii="Times New Roman" w:hAnsi="Times New Roman"/>
          <w:kern w:val="0"/>
          <w:sz w:val="24"/>
          <w:szCs w:val="24"/>
          <w:lang w:eastAsia="pt-BR"/>
        </w:rPr>
        <w:t>As sanções já se encontram-se previstas na Parte Geral da minuta-padrão de contrato da Procuradoria Geral do Estado do Piauí - PGE.</w:t>
      </w:r>
    </w:p>
    <w:p w14:paraId="68858D64" w14:textId="77777777" w:rsidR="009148D9" w:rsidRPr="00A93580" w:rsidRDefault="009148D9" w:rsidP="009148D9">
      <w:pPr>
        <w:pStyle w:val="PargrafodaLista"/>
        <w:spacing w:line="276" w:lineRule="auto"/>
        <w:ind w:left="900"/>
        <w:jc w:val="both"/>
        <w:rPr>
          <w:rFonts w:ascii="Times New Roman" w:hAnsi="Times New Roman"/>
          <w:kern w:val="0"/>
          <w:sz w:val="24"/>
          <w:szCs w:val="24"/>
          <w:lang w:eastAsia="pt-BR"/>
        </w:rPr>
      </w:pPr>
    </w:p>
    <w:p w14:paraId="668E1409" w14:textId="77777777" w:rsidR="009148D9" w:rsidRPr="00A93580"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 SUBCONTRATAÇÃO</w:t>
      </w:r>
    </w:p>
    <w:p w14:paraId="73A38DE2" w14:textId="77777777" w:rsidR="009148D9" w:rsidRPr="00A93580"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A93580">
        <w:rPr>
          <w:rFonts w:ascii="Times New Roman" w:hAnsi="Times New Roman"/>
          <w:kern w:val="0"/>
          <w:sz w:val="24"/>
          <w:szCs w:val="24"/>
          <w:lang w:eastAsia="pt-BR"/>
        </w:rPr>
        <w:t>É vedada a subcontratação, no todo ou em parte, do objeto contratado.</w:t>
      </w:r>
    </w:p>
    <w:p w14:paraId="64871787"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2D9E7CC5" w14:textId="77777777" w:rsidR="009148D9" w:rsidRDefault="009148D9" w:rsidP="00DC07C2">
      <w:pPr>
        <w:pStyle w:val="PargrafodaLista"/>
        <w:numPr>
          <w:ilvl w:val="1"/>
          <w:numId w:val="9"/>
        </w:numPr>
        <w:spacing w:line="276" w:lineRule="auto"/>
        <w:ind w:left="567"/>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Será permitida a subcontratação de </w:t>
      </w:r>
      <w:r w:rsidRPr="00220682">
        <w:rPr>
          <w:rFonts w:ascii="Times New Roman" w:hAnsi="Times New Roman"/>
          <w:color w:val="FF0000"/>
          <w:kern w:val="0"/>
          <w:sz w:val="24"/>
          <w:szCs w:val="24"/>
          <w:lang w:eastAsia="pt-BR"/>
        </w:rPr>
        <w:t>[indicar a porcentagem] % (Indicar a porcentagem por extenso por cento) </w:t>
      </w:r>
      <w:r w:rsidRPr="00220682">
        <w:rPr>
          <w:rFonts w:ascii="Times New Roman" w:hAnsi="Times New Roman"/>
          <w:kern w:val="0"/>
          <w:sz w:val="24"/>
          <w:szCs w:val="24"/>
          <w:lang w:eastAsia="pt-BR"/>
        </w:rPr>
        <w:t>do objeto contratado, na forma indicada no Termo de Referência, sendo vedada a sub-rogação completa ou da parcela principal da obrigação.</w:t>
      </w:r>
    </w:p>
    <w:p w14:paraId="34256C88"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A subcontratação depende de autorização prévia da Contratante, a quem incumbe avaliar se a subcontratada cumpre os requisitos de qualificação técnica necessários para a execução do objeto.</w:t>
      </w:r>
    </w:p>
    <w:p w14:paraId="1AC16484"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14:paraId="0839DDE5" w14:textId="77777777" w:rsidR="009148D9"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O contratado apresentará à Administração documentação que comprove a capacidade técnica do subcontratado, que será avaliada e juntada aos autos do processo correspondente.</w:t>
      </w:r>
    </w:p>
    <w:p w14:paraId="2F0247AD" w14:textId="77777777" w:rsidR="009148D9" w:rsidRPr="00A93580" w:rsidRDefault="009148D9" w:rsidP="00DC07C2">
      <w:pPr>
        <w:pStyle w:val="PargrafodaLista"/>
        <w:numPr>
          <w:ilvl w:val="2"/>
          <w:numId w:val="9"/>
        </w:numPr>
        <w:spacing w:line="276" w:lineRule="auto"/>
        <w:ind w:left="1134"/>
        <w:jc w:val="both"/>
        <w:rPr>
          <w:rFonts w:ascii="Times New Roman" w:hAnsi="Times New Roman"/>
          <w:kern w:val="0"/>
          <w:sz w:val="24"/>
          <w:szCs w:val="24"/>
          <w:lang w:eastAsia="pt-BR"/>
        </w:rPr>
      </w:pPr>
      <w:r w:rsidRPr="00A93580">
        <w:rPr>
          <w:rFonts w:ascii="Times New Roman" w:hAnsi="Times New Roman"/>
          <w:kern w:val="0"/>
          <w:sz w:val="24"/>
          <w:szCs w:val="24"/>
          <w:lang w:eastAsia="pt-BR"/>
        </w:rPr>
        <w:t>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contratação ou atue na fiscalização ou na gestão do contrato, ou se deles forem cônjuge, companheiro ou parente em linha reta, colateral, ou por afinidade, até o terceiro grau.</w:t>
      </w:r>
    </w:p>
    <w:tbl>
      <w:tblPr>
        <w:tblW w:w="9348"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48"/>
      </w:tblGrid>
      <w:tr w:rsidR="009148D9" w:rsidRPr="00220682" w14:paraId="7C0C5537" w14:textId="77777777" w:rsidTr="001E0434">
        <w:trPr>
          <w:tblCellSpacing w:w="7" w:type="dxa"/>
          <w:jc w:val="center"/>
        </w:trPr>
        <w:tc>
          <w:tcPr>
            <w:tcW w:w="9320" w:type="dxa"/>
            <w:tcBorders>
              <w:top w:val="outset" w:sz="6" w:space="0" w:color="auto"/>
              <w:bottom w:val="outset" w:sz="6" w:space="0" w:color="auto"/>
            </w:tcBorders>
            <w:shd w:val="clear" w:color="auto" w:fill="FFFFCC"/>
            <w:vAlign w:val="center"/>
            <w:hideMark/>
          </w:tcPr>
          <w:p w14:paraId="05847525"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Dispõe a Lei nº 14.133/2021 em seu art. 122, que a Contratada, na execução do contrato, sem prejuízo das responsabilidades contratuais e legais, poderá subcontratar partes do serviço ou fornecimento, até o limite admitido, em cada caso, pela Administração. A subcontratação, desde que prevista no instrumento convocatório, possibilita que terceiro, que não participou do certame licitatório, realize parte do objeto.</w:t>
            </w:r>
          </w:p>
          <w:p w14:paraId="458EAFE2"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Administração autorizará e dimensionará a subcontratação mediante ato motivado, a comprovar que atende às recomendações do Termo de Referência e convém à consecução das finalidades do contrato. Caso admitida, cabe ao Termo de Referência estabelecer com detalhamento seus limites e condições.</w:t>
            </w:r>
          </w:p>
          <w:p w14:paraId="0DFE47B9"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Quando a qualificação técnica da empresa for fator preponderante para sua contratação, e a subcontratação for admitida, é imprescindível que se exija o cumprimento dos mesmos requisitos por parte da subcontratada (Acórdão n° 1.229/2008 – Plenário do TCU).</w:t>
            </w:r>
          </w:p>
          <w:p w14:paraId="6F1236C8"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Veja-se excerto do Acórdão n° 1.941/2006 – Plenário do TCU: “9.1.3.5. fundamente adequadamente os atos de aceitação ou rejeição das empresas subcontratadas, em conformidade com os limites e condições que devem ser estabelecidos previamente nos editais de licitação, em consonância com o disposto no art. 72 da Lei n. 8.666/1993, mormente quando as subcontratações se referirem a partes da obra para as quais forem exigidas, no instrumento convocatório, qualificação técnica da empresa licitante;”</w:t>
            </w:r>
          </w:p>
          <w:p w14:paraId="28CC87C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lastRenderedPageBreak/>
              <w:t>A redação que segue é meramente ilustrativa e contempla a vedação à subcontratação, assim como a subcontratação parcial do objeto.</w:t>
            </w:r>
          </w:p>
          <w:p w14:paraId="498281BD"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A subcontratação parcial é permitida e deverá ser analisada pela Administração com base nas informações dos estudos preliminares, em cada caso concreto, </w:t>
            </w:r>
            <w:r w:rsidRPr="00220682">
              <w:rPr>
                <w:rFonts w:ascii="Times New Roman" w:hAnsi="Times New Roman"/>
                <w:b/>
                <w:bCs/>
                <w:kern w:val="0"/>
                <w:sz w:val="24"/>
                <w:szCs w:val="24"/>
                <w:lang w:eastAsia="pt-BR"/>
              </w:rPr>
              <w:t>sendo necessária justificativa técnica quanto ao percentual adotado.</w:t>
            </w:r>
            <w:r w:rsidRPr="00220682">
              <w:rPr>
                <w:rFonts w:ascii="Times New Roman" w:hAnsi="Times New Roman"/>
                <w:kern w:val="0"/>
                <w:sz w:val="24"/>
                <w:szCs w:val="24"/>
                <w:lang w:eastAsia="pt-BR"/>
              </w:rPr>
              <w:t>  Caso admitida, o Termo de Referência deve estabelecer com detalhamento seus limites e condições, inclusive especificando quais parcelas do objeto poderão ser subcontratadas. A prestação de serviços com dedicação de mão de obra exclusiva deve ser considerada como a parcela principal da obrigação e não pode ser subcontratada. É importante verificar que </w:t>
            </w:r>
            <w:r w:rsidRPr="00220682">
              <w:rPr>
                <w:rFonts w:ascii="Times New Roman" w:hAnsi="Times New Roman"/>
                <w:b/>
                <w:bCs/>
                <w:kern w:val="0"/>
                <w:sz w:val="24"/>
                <w:szCs w:val="24"/>
                <w:lang w:eastAsia="pt-BR"/>
              </w:rPr>
              <w:t>são vedadas</w:t>
            </w:r>
            <w:r w:rsidRPr="00220682">
              <w:rPr>
                <w:rFonts w:ascii="Times New Roman" w:hAnsi="Times New Roman"/>
                <w:kern w:val="0"/>
                <w:sz w:val="24"/>
                <w:szCs w:val="24"/>
                <w:lang w:eastAsia="pt-BR"/>
              </w:rPr>
              <w:t> (i) a exigência no instrumento convocatório de subcontratação de itens ou parcelas determinadas ou de empresas específicas; (</w:t>
            </w:r>
            <w:proofErr w:type="spellStart"/>
            <w:r w:rsidRPr="00220682">
              <w:rPr>
                <w:rFonts w:ascii="Times New Roman" w:hAnsi="Times New Roman"/>
                <w:kern w:val="0"/>
                <w:sz w:val="24"/>
                <w:szCs w:val="24"/>
                <w:lang w:eastAsia="pt-BR"/>
              </w:rPr>
              <w:t>ii</w:t>
            </w:r>
            <w:proofErr w:type="spellEnd"/>
            <w:r w:rsidRPr="00220682">
              <w:rPr>
                <w:rFonts w:ascii="Times New Roman" w:hAnsi="Times New Roman"/>
                <w:kern w:val="0"/>
                <w:sz w:val="24"/>
                <w:szCs w:val="24"/>
                <w:lang w:eastAsia="pt-BR"/>
              </w:rPr>
              <w:t>) </w:t>
            </w:r>
            <w:r w:rsidRPr="00220682">
              <w:rPr>
                <w:rFonts w:ascii="Times New Roman" w:hAnsi="Times New Roman"/>
                <w:b/>
                <w:bCs/>
                <w:kern w:val="0"/>
                <w:sz w:val="24"/>
                <w:szCs w:val="24"/>
                <w:lang w:eastAsia="pt-BR"/>
              </w:rPr>
              <w:t>a subcontratação das parcelas de maior relevância técnica, assim definidas no instrumento convocatório;</w:t>
            </w:r>
            <w:r w:rsidRPr="00220682">
              <w:rPr>
                <w:rFonts w:ascii="Times New Roman" w:hAnsi="Times New Roman"/>
                <w:kern w:val="0"/>
                <w:sz w:val="24"/>
                <w:szCs w:val="24"/>
                <w:lang w:eastAsia="pt-BR"/>
              </w:rPr>
              <w:t> (</w:t>
            </w:r>
            <w:proofErr w:type="spellStart"/>
            <w:r w:rsidRPr="00220682">
              <w:rPr>
                <w:rFonts w:ascii="Times New Roman" w:hAnsi="Times New Roman"/>
                <w:kern w:val="0"/>
                <w:sz w:val="24"/>
                <w:szCs w:val="24"/>
                <w:lang w:eastAsia="pt-BR"/>
              </w:rPr>
              <w:t>iii</w:t>
            </w:r>
            <w:proofErr w:type="spellEnd"/>
            <w:r w:rsidRPr="00220682">
              <w:rPr>
                <w:rFonts w:ascii="Times New Roman" w:hAnsi="Times New Roman"/>
                <w:kern w:val="0"/>
                <w:sz w:val="24"/>
                <w:szCs w:val="24"/>
                <w:lang w:eastAsia="pt-BR"/>
              </w:rPr>
              <w:t>) a subcontratação de microempresas e empresas de pequeno porte que estejam participando da licitação; e (</w:t>
            </w:r>
            <w:proofErr w:type="spellStart"/>
            <w:r w:rsidRPr="00220682">
              <w:rPr>
                <w:rFonts w:ascii="Times New Roman" w:hAnsi="Times New Roman"/>
                <w:kern w:val="0"/>
                <w:sz w:val="24"/>
                <w:szCs w:val="24"/>
                <w:lang w:eastAsia="pt-BR"/>
              </w:rPr>
              <w:t>iv</w:t>
            </w:r>
            <w:proofErr w:type="spellEnd"/>
            <w:r w:rsidRPr="00220682">
              <w:rPr>
                <w:rFonts w:ascii="Times New Roman" w:hAnsi="Times New Roman"/>
                <w:kern w:val="0"/>
                <w:sz w:val="24"/>
                <w:szCs w:val="24"/>
                <w:lang w:eastAsia="pt-BR"/>
              </w:rPr>
              <w:t>) a subcontratação de microempresas ou empresas de pequeno porte que tenham um ou mais sócios em comum com a empresa contratante.</w:t>
            </w:r>
          </w:p>
          <w:p w14:paraId="2EB8075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Alguns acórdãos do TCU sobre o tema: “A entidade contratada por dispensa de licitação, com base no art. 24, inciso XIII, da Lei 8.666/1993, deve comprovar indiscutível capacidade para a execução do objeto pactuado por meios próprios e de acordo com as suas finalidades institucionais, sendo regra a inadmissibilidade de subcontratação.” (Acórdão 2669/2016-Plenário | Relator: BENJAMIN ZYMLER)</w:t>
            </w:r>
          </w:p>
          <w:p w14:paraId="64FDE8EC"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dispensa de licitação baseada na experiência da contratada e de seu corpo técnico não permitem subcontratação, sob pena de restar descaracterizada a contratação direta.” (Acórdão 2644/2009-Plenário | Relator: VALMIR CAMPELO)</w:t>
            </w:r>
          </w:p>
          <w:p w14:paraId="7BDD838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 contratação direta de serviços técnicos especializados não admite a subcontratação do objeto.” (Acórdão 275/2010-Primeira Câmara | Relator: WALTON ALENCAR RODRIGUES)</w:t>
            </w:r>
          </w:p>
        </w:tc>
      </w:tr>
    </w:tbl>
    <w:p w14:paraId="002E2A93" w14:textId="77777777" w:rsidR="009148D9" w:rsidRDefault="009148D9" w:rsidP="009148D9">
      <w:pPr>
        <w:pStyle w:val="PargrafodaLista"/>
        <w:spacing w:before="120" w:after="120" w:line="276" w:lineRule="auto"/>
        <w:ind w:left="360"/>
        <w:jc w:val="both"/>
        <w:rPr>
          <w:rFonts w:ascii="Times New Roman" w:hAnsi="Times New Roman"/>
          <w:b/>
          <w:bCs/>
          <w:kern w:val="0"/>
          <w:sz w:val="24"/>
          <w:szCs w:val="24"/>
          <w:lang w:eastAsia="pt-BR"/>
        </w:rPr>
      </w:pPr>
    </w:p>
    <w:p w14:paraId="06240C2B" w14:textId="77777777" w:rsidR="009148D9" w:rsidRDefault="009148D9" w:rsidP="00DC07C2">
      <w:pPr>
        <w:pStyle w:val="PargrafodaLista"/>
        <w:numPr>
          <w:ilvl w:val="0"/>
          <w:numId w:val="9"/>
        </w:numPr>
        <w:spacing w:line="276" w:lineRule="auto"/>
        <w:jc w:val="both"/>
        <w:rPr>
          <w:rFonts w:ascii="Times New Roman" w:hAnsi="Times New Roman"/>
          <w:b/>
          <w:bCs/>
          <w:kern w:val="0"/>
          <w:sz w:val="24"/>
          <w:szCs w:val="24"/>
          <w:lang w:eastAsia="pt-BR"/>
        </w:rPr>
      </w:pPr>
      <w:r w:rsidRPr="00A93580">
        <w:rPr>
          <w:rFonts w:ascii="Times New Roman" w:hAnsi="Times New Roman"/>
          <w:b/>
          <w:bCs/>
          <w:kern w:val="0"/>
          <w:sz w:val="24"/>
          <w:szCs w:val="24"/>
          <w:lang w:eastAsia="pt-BR"/>
        </w:rPr>
        <w:t>VALOR MÁXIMO ESTIMADO</w:t>
      </w:r>
    </w:p>
    <w:p w14:paraId="2FF37B08" w14:textId="77777777" w:rsidR="009148D9" w:rsidRPr="00A93580" w:rsidRDefault="009148D9" w:rsidP="00DC07C2">
      <w:pPr>
        <w:pStyle w:val="PargrafodaLista"/>
        <w:numPr>
          <w:ilvl w:val="1"/>
          <w:numId w:val="9"/>
        </w:numPr>
        <w:tabs>
          <w:tab w:val="left" w:pos="1134"/>
        </w:tabs>
        <w:spacing w:line="276" w:lineRule="auto"/>
        <w:ind w:left="709" w:hanging="283"/>
        <w:jc w:val="both"/>
        <w:rPr>
          <w:rFonts w:ascii="Times New Roman" w:hAnsi="Times New Roman"/>
          <w:b/>
          <w:bCs/>
          <w:kern w:val="0"/>
          <w:sz w:val="24"/>
          <w:szCs w:val="24"/>
          <w:lang w:eastAsia="pt-BR"/>
        </w:rPr>
      </w:pPr>
      <w:r w:rsidRPr="00A93580">
        <w:rPr>
          <w:rFonts w:ascii="Times New Roman" w:hAnsi="Times New Roman"/>
          <w:kern w:val="0"/>
          <w:sz w:val="24"/>
          <w:szCs w:val="24"/>
          <w:lang w:eastAsia="pt-BR"/>
        </w:rPr>
        <w:t xml:space="preserve">O custo estimado total da contratação é de </w:t>
      </w:r>
      <w:r w:rsidRPr="00A93580">
        <w:rPr>
          <w:rFonts w:ascii="Times New Roman" w:hAnsi="Times New Roman"/>
          <w:b/>
          <w:bCs/>
          <w:color w:val="FF0000"/>
          <w:kern w:val="0"/>
          <w:sz w:val="24"/>
          <w:szCs w:val="24"/>
          <w:lang w:eastAsia="pt-BR"/>
        </w:rPr>
        <w:t xml:space="preserve">R$ </w:t>
      </w:r>
      <w:r>
        <w:rPr>
          <w:rFonts w:ascii="Times New Roman" w:hAnsi="Times New Roman"/>
          <w:b/>
          <w:bCs/>
          <w:color w:val="FF0000"/>
          <w:kern w:val="0"/>
          <w:sz w:val="24"/>
          <w:szCs w:val="24"/>
          <w:lang w:eastAsia="pt-BR"/>
        </w:rPr>
        <w:t>[indicar valor]</w:t>
      </w:r>
      <w:r w:rsidRPr="00A93580">
        <w:rPr>
          <w:rFonts w:ascii="Times New Roman" w:hAnsi="Times New Roman"/>
          <w:color w:val="FF0000"/>
          <w:kern w:val="0"/>
          <w:sz w:val="24"/>
          <w:szCs w:val="24"/>
          <w:lang w:eastAsia="pt-BR"/>
        </w:rPr>
        <w:t xml:space="preserve"> (</w:t>
      </w:r>
      <w:r>
        <w:rPr>
          <w:rFonts w:ascii="Times New Roman" w:hAnsi="Times New Roman"/>
          <w:color w:val="FF0000"/>
          <w:kern w:val="0"/>
          <w:sz w:val="24"/>
          <w:szCs w:val="24"/>
          <w:lang w:eastAsia="pt-BR"/>
        </w:rPr>
        <w:t>[indicar valor por extenso]</w:t>
      </w:r>
      <w:r w:rsidRPr="00A93580">
        <w:rPr>
          <w:rFonts w:ascii="Times New Roman" w:hAnsi="Times New Roman"/>
          <w:color w:val="FF0000"/>
          <w:kern w:val="0"/>
          <w:sz w:val="24"/>
          <w:szCs w:val="24"/>
          <w:lang w:eastAsia="pt-BR"/>
        </w:rPr>
        <w:t>)</w:t>
      </w:r>
      <w:r w:rsidRPr="00A93580">
        <w:rPr>
          <w:rFonts w:ascii="Times New Roman" w:hAnsi="Times New Roman"/>
          <w:b/>
          <w:bCs/>
          <w:color w:val="FF0000"/>
          <w:kern w:val="0"/>
          <w:sz w:val="24"/>
          <w:szCs w:val="24"/>
          <w:lang w:eastAsia="pt-BR"/>
        </w:rPr>
        <w:t>, </w:t>
      </w:r>
      <w:r w:rsidRPr="00A93580">
        <w:rPr>
          <w:rFonts w:ascii="Times New Roman" w:hAnsi="Times New Roman"/>
          <w:color w:val="FF0000"/>
          <w:kern w:val="0"/>
          <w:sz w:val="24"/>
          <w:szCs w:val="24"/>
          <w:lang w:eastAsia="pt-BR"/>
        </w:rPr>
        <w:t xml:space="preserve">conforme relatório Banco de `Preços e Contratação Similar (ID </w:t>
      </w:r>
      <w:proofErr w:type="spellStart"/>
      <w:r>
        <w:rPr>
          <w:rFonts w:ascii="Times New Roman" w:hAnsi="Times New Roman"/>
          <w:color w:val="FF0000"/>
          <w:kern w:val="0"/>
          <w:sz w:val="24"/>
          <w:szCs w:val="24"/>
          <w:lang w:eastAsia="pt-BR"/>
        </w:rPr>
        <w:t>xxxx</w:t>
      </w:r>
      <w:proofErr w:type="spellEnd"/>
      <w:r w:rsidRPr="00A93580">
        <w:rPr>
          <w:rFonts w:ascii="Times New Roman" w:hAnsi="Times New Roman"/>
          <w:color w:val="FF0000"/>
          <w:kern w:val="0"/>
          <w:sz w:val="24"/>
          <w:szCs w:val="24"/>
          <w:lang w:eastAsia="pt-BR"/>
        </w:rPr>
        <w:t xml:space="preserve">), Cotação de Fornecedores (ID </w:t>
      </w:r>
      <w:proofErr w:type="spellStart"/>
      <w:r>
        <w:rPr>
          <w:rFonts w:ascii="Times New Roman" w:hAnsi="Times New Roman"/>
          <w:color w:val="FF0000"/>
          <w:kern w:val="0"/>
          <w:sz w:val="24"/>
          <w:szCs w:val="24"/>
          <w:lang w:eastAsia="pt-BR"/>
        </w:rPr>
        <w:t>xxxx</w:t>
      </w:r>
      <w:proofErr w:type="spellEnd"/>
      <w:r w:rsidRPr="00A93580">
        <w:rPr>
          <w:rFonts w:ascii="Times New Roman" w:hAnsi="Times New Roman"/>
          <w:color w:val="FF0000"/>
          <w:kern w:val="0"/>
          <w:sz w:val="24"/>
          <w:szCs w:val="24"/>
          <w:lang w:eastAsia="pt-BR"/>
        </w:rPr>
        <w:t xml:space="preserve">) e relatório (ID </w:t>
      </w:r>
      <w:proofErr w:type="spellStart"/>
      <w:r>
        <w:rPr>
          <w:rFonts w:ascii="Times New Roman" w:hAnsi="Times New Roman"/>
          <w:color w:val="FF0000"/>
          <w:kern w:val="0"/>
          <w:sz w:val="24"/>
          <w:szCs w:val="24"/>
          <w:lang w:eastAsia="pt-BR"/>
        </w:rPr>
        <w:t>xxx</w:t>
      </w:r>
      <w:proofErr w:type="spellEnd"/>
      <w:r w:rsidRPr="00A93580">
        <w:rPr>
          <w:rFonts w:ascii="Times New Roman" w:hAnsi="Times New Roman"/>
          <w:color w:val="FF0000"/>
          <w:kern w:val="0"/>
          <w:sz w:val="24"/>
          <w:szCs w:val="24"/>
          <w:lang w:eastAsia="pt-BR"/>
        </w:rPr>
        <w:t>).</w:t>
      </w:r>
    </w:p>
    <w:p w14:paraId="2AC3A69A" w14:textId="77777777" w:rsidR="009148D9" w:rsidRPr="00A93580" w:rsidRDefault="009148D9" w:rsidP="00DC07C2">
      <w:pPr>
        <w:pStyle w:val="PargrafodaLista"/>
        <w:numPr>
          <w:ilvl w:val="2"/>
          <w:numId w:val="9"/>
        </w:numPr>
        <w:tabs>
          <w:tab w:val="left" w:pos="1560"/>
        </w:tabs>
        <w:spacing w:line="276" w:lineRule="auto"/>
        <w:ind w:left="1134" w:hanging="283"/>
        <w:jc w:val="both"/>
        <w:rPr>
          <w:rFonts w:ascii="Times New Roman" w:hAnsi="Times New Roman"/>
          <w:b/>
          <w:bCs/>
          <w:kern w:val="0"/>
          <w:sz w:val="24"/>
          <w:szCs w:val="24"/>
          <w:lang w:eastAsia="pt-BR"/>
        </w:rPr>
      </w:pPr>
      <w:r w:rsidRPr="00A93580">
        <w:rPr>
          <w:rFonts w:ascii="Times New Roman" w:hAnsi="Times New Roman"/>
          <w:color w:val="FF0000"/>
          <w:kern w:val="0"/>
          <w:sz w:val="24"/>
          <w:szCs w:val="24"/>
          <w:lang w:eastAsia="pt-BR"/>
        </w:rPr>
        <w:t>A estimativa de custo levou em consideração o risco envolvido na contratação e sua alocação entre contratante e contratado, conforme especificado na matriz de risco Anexo XX deste Termo de Referência.</w:t>
      </w:r>
    </w:p>
    <w:p w14:paraId="2EDB3A8D" w14:textId="77777777" w:rsidR="009148D9" w:rsidRPr="00A93580" w:rsidRDefault="009148D9" w:rsidP="009148D9">
      <w:pPr>
        <w:spacing w:line="276" w:lineRule="auto"/>
        <w:jc w:val="center"/>
        <w:rPr>
          <w:rFonts w:ascii="Times New Roman" w:hAnsi="Times New Roman"/>
          <w:b/>
          <w:bCs/>
          <w:kern w:val="0"/>
          <w:sz w:val="24"/>
          <w:szCs w:val="24"/>
          <w:lang w:eastAsia="pt-BR"/>
        </w:rPr>
      </w:pPr>
      <w:r w:rsidRPr="00A93580">
        <w:rPr>
          <w:rFonts w:ascii="Times New Roman" w:hAnsi="Times New Roman"/>
          <w:b/>
          <w:bCs/>
          <w:color w:val="FF0000"/>
          <w:kern w:val="0"/>
          <w:sz w:val="24"/>
          <w:szCs w:val="24"/>
          <w:lang w:eastAsia="pt-BR"/>
        </w:rPr>
        <w:t>OU</w:t>
      </w:r>
    </w:p>
    <w:p w14:paraId="2B61F1D4"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O custo estimado da contratação possui </w:t>
      </w:r>
      <w:r w:rsidRPr="00220682">
        <w:rPr>
          <w:rFonts w:ascii="Times New Roman" w:hAnsi="Times New Roman"/>
          <w:b/>
          <w:bCs/>
          <w:color w:val="FF0000"/>
          <w:kern w:val="0"/>
          <w:sz w:val="24"/>
          <w:szCs w:val="24"/>
          <w:lang w:eastAsia="pt-BR"/>
        </w:rPr>
        <w:t>caráter sigiloso</w:t>
      </w:r>
      <w:r w:rsidRPr="00220682">
        <w:rPr>
          <w:rFonts w:ascii="Times New Roman" w:hAnsi="Times New Roman"/>
          <w:kern w:val="0"/>
          <w:sz w:val="24"/>
          <w:szCs w:val="24"/>
          <w:lang w:eastAsia="pt-BR"/>
        </w:rPr>
        <w:t xml:space="preserve"> e será tornado público apenas e imediatamente após o julgamento das propostas, conforme art. 24 do da Lei Nº 14.133/202, combinado com o § 1º do art. 91 do Decreto Estadual 21.872/2023.</w:t>
      </w:r>
    </w:p>
    <w:p w14:paraId="67870F7E" w14:textId="77777777" w:rsidR="009148D9" w:rsidRPr="008B08DC" w:rsidRDefault="009148D9" w:rsidP="00DC07C2">
      <w:pPr>
        <w:pStyle w:val="PargrafodaLista"/>
        <w:numPr>
          <w:ilvl w:val="2"/>
          <w:numId w:val="9"/>
        </w:numPr>
        <w:tabs>
          <w:tab w:val="left" w:pos="1560"/>
        </w:tabs>
        <w:spacing w:line="276" w:lineRule="auto"/>
        <w:ind w:left="1134" w:hanging="283"/>
        <w:jc w:val="both"/>
        <w:rPr>
          <w:rFonts w:ascii="Times New Roman" w:hAnsi="Times New Roman"/>
          <w:kern w:val="0"/>
          <w:sz w:val="24"/>
          <w:szCs w:val="24"/>
          <w:lang w:eastAsia="pt-BR"/>
        </w:rPr>
      </w:pPr>
      <w:r w:rsidRPr="00A93580">
        <w:rPr>
          <w:rFonts w:ascii="Times New Roman" w:hAnsi="Times New Roman"/>
          <w:color w:val="FF0000"/>
          <w:kern w:val="0"/>
          <w:sz w:val="24"/>
          <w:szCs w:val="24"/>
          <w:lang w:eastAsia="pt-BR"/>
        </w:rPr>
        <w:t>A estimativa de custo levou em consideração o risco envolvido na contratação e sua alocação entre contratante e contratado, conforme especificado na matriz de risco constante do Contrato.</w:t>
      </w:r>
    </w:p>
    <w:p w14:paraId="436A432E" w14:textId="77777777" w:rsidR="009148D9" w:rsidRPr="008B08DC" w:rsidRDefault="009148D9" w:rsidP="00DC07C2">
      <w:pPr>
        <w:pStyle w:val="PargrafodaLista"/>
        <w:numPr>
          <w:ilvl w:val="2"/>
          <w:numId w:val="9"/>
        </w:numPr>
        <w:tabs>
          <w:tab w:val="left" w:pos="1560"/>
        </w:tabs>
        <w:spacing w:line="276" w:lineRule="auto"/>
        <w:ind w:left="1134" w:hanging="283"/>
        <w:jc w:val="both"/>
        <w:rPr>
          <w:rFonts w:ascii="Times New Roman" w:hAnsi="Times New Roman"/>
          <w:kern w:val="0"/>
          <w:sz w:val="24"/>
          <w:szCs w:val="24"/>
          <w:lang w:eastAsia="pt-BR"/>
        </w:rPr>
      </w:pPr>
      <w:r w:rsidRPr="008B08DC">
        <w:rPr>
          <w:rFonts w:ascii="Times New Roman" w:hAnsi="Times New Roman"/>
          <w:color w:val="FF0000"/>
          <w:kern w:val="0"/>
          <w:sz w:val="24"/>
          <w:szCs w:val="24"/>
          <w:lang w:eastAsia="pt-BR"/>
        </w:rPr>
        <w:lastRenderedPageBreak/>
        <w:t xml:space="preserve">Em caso de licitação para </w:t>
      </w:r>
      <w:r w:rsidRPr="008B08DC">
        <w:rPr>
          <w:rFonts w:ascii="Times New Roman" w:hAnsi="Times New Roman"/>
          <w:b/>
          <w:bCs/>
          <w:color w:val="FF0000"/>
          <w:kern w:val="0"/>
          <w:sz w:val="24"/>
          <w:szCs w:val="24"/>
          <w:lang w:eastAsia="pt-BR"/>
        </w:rPr>
        <w:t>Registro de Preços</w:t>
      </w:r>
      <w:r w:rsidRPr="008B08DC">
        <w:rPr>
          <w:rFonts w:ascii="Times New Roman" w:hAnsi="Times New Roman"/>
          <w:kern w:val="0"/>
          <w:sz w:val="24"/>
          <w:szCs w:val="24"/>
          <w:lang w:eastAsia="pt-BR"/>
        </w:rPr>
        <w:t xml:space="preserve">, os preços registrados poderão ser alterados ou atualizados em decorrência de eventual redução dos preços praticados no mercado ou de fato que eleve o custo dos bens, das obras ou dos </w:t>
      </w:r>
      <w:r w:rsidRPr="0090313E">
        <w:rPr>
          <w:rFonts w:ascii="Times New Roman" w:hAnsi="Times New Roman"/>
          <w:color w:val="4472C4" w:themeColor="accent1"/>
          <w:kern w:val="0"/>
          <w:sz w:val="24"/>
          <w:szCs w:val="24"/>
          <w:lang w:eastAsia="pt-BR"/>
        </w:rPr>
        <w:t>bens</w:t>
      </w:r>
      <w:r w:rsidRPr="008B08DC">
        <w:rPr>
          <w:rFonts w:ascii="Times New Roman" w:hAnsi="Times New Roman"/>
          <w:kern w:val="0"/>
          <w:sz w:val="24"/>
          <w:szCs w:val="24"/>
          <w:lang w:eastAsia="pt-BR"/>
        </w:rPr>
        <w:t xml:space="preserve"> registrados, nas seguintes situações:</w:t>
      </w:r>
    </w:p>
    <w:p w14:paraId="5EA01B2B"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3F3F2A32"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em caso de criação, alteração ou extinção de quaisquer tributos ou encargos legais ou superveniência de disposições legais, com comprovada repercussão sobre os preços registrados;</w:t>
      </w:r>
    </w:p>
    <w:p w14:paraId="75429761"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serão reajustados os preços registrados, respeitada a contagem da anualidade e o índice previsto para a contratação; ou</w:t>
      </w:r>
    </w:p>
    <w:p w14:paraId="16B64E90" w14:textId="77777777" w:rsidR="009148D9" w:rsidRDefault="009148D9" w:rsidP="00DC07C2">
      <w:pPr>
        <w:pStyle w:val="PargrafodaLista"/>
        <w:numPr>
          <w:ilvl w:val="1"/>
          <w:numId w:val="6"/>
        </w:numPr>
        <w:spacing w:line="276" w:lineRule="auto"/>
        <w:ind w:left="2127"/>
        <w:jc w:val="both"/>
        <w:rPr>
          <w:rFonts w:ascii="Times New Roman" w:hAnsi="Times New Roman"/>
          <w:kern w:val="0"/>
          <w:sz w:val="24"/>
          <w:szCs w:val="24"/>
          <w:lang w:eastAsia="pt-BR"/>
        </w:rPr>
      </w:pPr>
      <w:r w:rsidRPr="008B08DC">
        <w:rPr>
          <w:rFonts w:ascii="Times New Roman" w:hAnsi="Times New Roman"/>
          <w:kern w:val="0"/>
          <w:sz w:val="24"/>
          <w:szCs w:val="24"/>
          <w:lang w:eastAsia="pt-BR"/>
        </w:rPr>
        <w:t>poderão ser repactuados, a pedido do interessado, conforme critérios definidos para a contratação.</w:t>
      </w:r>
    </w:p>
    <w:p w14:paraId="6AF0BA8F" w14:textId="77777777" w:rsidR="009148D9" w:rsidRPr="008B08DC" w:rsidRDefault="009148D9" w:rsidP="009148D9">
      <w:pPr>
        <w:pStyle w:val="PargrafodaLista"/>
        <w:spacing w:before="100" w:beforeAutospacing="1" w:after="100" w:afterAutospacing="1"/>
        <w:ind w:left="2127"/>
        <w:jc w:val="both"/>
        <w:rPr>
          <w:rFonts w:ascii="Times New Roman" w:hAnsi="Times New Roman"/>
          <w:kern w:val="0"/>
          <w:sz w:val="24"/>
          <w:szCs w:val="24"/>
          <w:lang w:eastAsia="pt-BR"/>
        </w:rPr>
      </w:pPr>
    </w:p>
    <w:p w14:paraId="3031EE65"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DOS RECURSOS ORÇAMENTÁRIOS</w:t>
      </w:r>
    </w:p>
    <w:p w14:paraId="069368A5" w14:textId="77777777" w:rsidR="009148D9" w:rsidRPr="008B08DC"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Por se tratar de procedimento licitatório com </w:t>
      </w:r>
      <w:r w:rsidRPr="008B08DC">
        <w:rPr>
          <w:rFonts w:ascii="Times New Roman" w:hAnsi="Times New Roman"/>
          <w:color w:val="FF0000"/>
          <w:kern w:val="0"/>
          <w:sz w:val="24"/>
          <w:szCs w:val="24"/>
          <w:lang w:eastAsia="pt-BR"/>
        </w:rPr>
        <w:t>Sistema de Registro de Preços</w:t>
      </w:r>
      <w:r w:rsidRPr="008B08DC">
        <w:rPr>
          <w:rFonts w:ascii="Times New Roman" w:hAnsi="Times New Roman"/>
          <w:kern w:val="0"/>
          <w:sz w:val="24"/>
          <w:szCs w:val="24"/>
          <w:lang w:eastAsia="pt-BR"/>
        </w:rPr>
        <w:t>, os recursos para custeio das despesas decorrentes da contratação que se seguir à licitação de que trata este Termo de Referência correrão à conta das dotações orçamentárias do Órgão/Ente do Estado participante do Registro, para os exercícios alcançados pelo prazo de validade da Ata de Registro de Preços, a cargo do CONTRATANTE, cujos programas de trabalho e elementos de despesas específicos constarão da respectiva Nota de Reserva.</w:t>
      </w:r>
    </w:p>
    <w:p w14:paraId="60222E26"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OU</w:t>
      </w:r>
    </w:p>
    <w:p w14:paraId="1A514817" w14:textId="77777777" w:rsidR="009148D9" w:rsidRPr="00220682"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220682">
        <w:rPr>
          <w:rFonts w:ascii="Times New Roman" w:hAnsi="Times New Roman"/>
          <w:kern w:val="0"/>
          <w:sz w:val="24"/>
          <w:szCs w:val="24"/>
          <w:lang w:eastAsia="pt-BR"/>
        </w:rPr>
        <w:t>As despesas decorrentes desta contratação estão programadas em dotação orçamentária própria, prevista no orçamento do Estado do Piauí, para o exercício de (20...), na classificação abaixo:</w:t>
      </w:r>
    </w:p>
    <w:p w14:paraId="3B475D7E"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Gestão/Unidade: (...)</w:t>
      </w:r>
    </w:p>
    <w:p w14:paraId="3BDA7B06"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Fonte: (...)</w:t>
      </w:r>
    </w:p>
    <w:p w14:paraId="47AE5D43"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Programa de Trabalho: (...)</w:t>
      </w:r>
    </w:p>
    <w:p w14:paraId="073CA324" w14:textId="77777777" w:rsidR="009148D9" w:rsidRPr="00220682"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Elemento de Despesa: (...)</w:t>
      </w:r>
    </w:p>
    <w:p w14:paraId="3C4B60B7" w14:textId="77777777" w:rsidR="009148D9" w:rsidRDefault="009148D9" w:rsidP="00DC07C2">
      <w:pPr>
        <w:numPr>
          <w:ilvl w:val="0"/>
          <w:numId w:val="7"/>
        </w:numPr>
        <w:tabs>
          <w:tab w:val="clear" w:pos="720"/>
          <w:tab w:val="num" w:pos="1418"/>
        </w:tabs>
        <w:spacing w:line="276" w:lineRule="auto"/>
        <w:ind w:left="1418"/>
        <w:jc w:val="both"/>
        <w:rPr>
          <w:rFonts w:ascii="Times New Roman" w:hAnsi="Times New Roman"/>
          <w:kern w:val="0"/>
          <w:sz w:val="24"/>
          <w:szCs w:val="24"/>
          <w:lang w:eastAsia="pt-BR"/>
        </w:rPr>
      </w:pPr>
      <w:r w:rsidRPr="00220682">
        <w:rPr>
          <w:rFonts w:ascii="Times New Roman" w:hAnsi="Times New Roman"/>
          <w:kern w:val="0"/>
          <w:sz w:val="24"/>
          <w:szCs w:val="24"/>
          <w:lang w:eastAsia="pt-BR"/>
        </w:rPr>
        <w:t>PI: (...)</w:t>
      </w:r>
    </w:p>
    <w:p w14:paraId="32CA0EA5" w14:textId="77777777" w:rsidR="009148D9" w:rsidRPr="008B08DC" w:rsidRDefault="009148D9" w:rsidP="009148D9">
      <w:pPr>
        <w:spacing w:line="276" w:lineRule="auto"/>
        <w:ind w:left="1418"/>
        <w:jc w:val="both"/>
        <w:rPr>
          <w:rFonts w:ascii="Times New Roman" w:hAnsi="Times New Roman"/>
          <w:kern w:val="0"/>
          <w:sz w:val="24"/>
          <w:szCs w:val="24"/>
          <w:lang w:eastAsia="pt-BR"/>
        </w:rPr>
      </w:pPr>
    </w:p>
    <w:p w14:paraId="0CA09255"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20682">
        <w:rPr>
          <w:rFonts w:ascii="Times New Roman" w:hAnsi="Times New Roman"/>
          <w:color w:val="FF0000"/>
          <w:kern w:val="0"/>
          <w:sz w:val="24"/>
          <w:szCs w:val="24"/>
          <w:lang w:eastAsia="pt-BR"/>
        </w:rPr>
        <w:t>DA UTILIZAÇÃO DO SISTEMA DE REGISTRO DE PREÇO: </w:t>
      </w:r>
    </w:p>
    <w:p w14:paraId="071A77D0" w14:textId="77777777" w:rsidR="009148D9" w:rsidRPr="008B08DC"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Justificativa da utilização do Sistema de Registro de Preços: </w:t>
      </w:r>
    </w:p>
    <w:tbl>
      <w:tblPr>
        <w:tblW w:w="972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23"/>
      </w:tblGrid>
      <w:tr w:rsidR="009148D9" w:rsidRPr="00220682" w14:paraId="09FF2C6F" w14:textId="77777777" w:rsidTr="001E0434">
        <w:trPr>
          <w:trHeight w:val="776"/>
          <w:tblCellSpacing w:w="7" w:type="dxa"/>
          <w:jc w:val="center"/>
        </w:trPr>
        <w:tc>
          <w:tcPr>
            <w:tcW w:w="9695" w:type="dxa"/>
            <w:tcBorders>
              <w:top w:val="outset" w:sz="6" w:space="0" w:color="auto"/>
              <w:bottom w:val="outset" w:sz="6" w:space="0" w:color="auto"/>
            </w:tcBorders>
            <w:shd w:val="clear" w:color="auto" w:fill="FFFFCC"/>
            <w:vAlign w:val="center"/>
            <w:hideMark/>
          </w:tcPr>
          <w:p w14:paraId="1D730B21"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 </w:t>
            </w:r>
            <w:r w:rsidRPr="00220682">
              <w:rPr>
                <w:rFonts w:ascii="Times New Roman" w:hAnsi="Times New Roman"/>
                <w:kern w:val="0"/>
                <w:sz w:val="24"/>
                <w:szCs w:val="24"/>
                <w:lang w:eastAsia="pt-BR"/>
              </w:rPr>
              <w:t xml:space="preserve">Justifica-se a utilização do Sistema de Registro de Preços, conforme o </w:t>
            </w:r>
            <w:proofErr w:type="spellStart"/>
            <w:r w:rsidRPr="00220682">
              <w:rPr>
                <w:rFonts w:ascii="Times New Roman" w:hAnsi="Times New Roman"/>
                <w:kern w:val="0"/>
                <w:sz w:val="24"/>
                <w:szCs w:val="24"/>
                <w:lang w:eastAsia="pt-BR"/>
              </w:rPr>
              <w:t>art</w:t>
            </w:r>
            <w:proofErr w:type="spellEnd"/>
            <w:r w:rsidRPr="00220682">
              <w:rPr>
                <w:rFonts w:ascii="Times New Roman" w:hAnsi="Times New Roman"/>
                <w:kern w:val="0"/>
                <w:sz w:val="24"/>
                <w:szCs w:val="24"/>
                <w:lang w:eastAsia="pt-BR"/>
              </w:rPr>
              <w:t xml:space="preserve"> 4 da DECRETO Nº 21.938, DE 28 DE MARÇO DE 2023, </w:t>
            </w:r>
          </w:p>
          <w:p w14:paraId="617EBD0A" w14:textId="77777777" w:rsidR="009148D9" w:rsidRPr="00220682" w:rsidRDefault="009148D9" w:rsidP="001E0434">
            <w:pPr>
              <w:spacing w:line="276" w:lineRule="auto"/>
              <w:ind w:left="2932"/>
              <w:jc w:val="both"/>
              <w:rPr>
                <w:rFonts w:ascii="Times New Roman" w:hAnsi="Times New Roman"/>
                <w:kern w:val="0"/>
                <w:sz w:val="24"/>
                <w:szCs w:val="24"/>
                <w:lang w:eastAsia="pt-BR"/>
              </w:rPr>
            </w:pPr>
            <w:r w:rsidRPr="00220682">
              <w:rPr>
                <w:rFonts w:ascii="Times New Roman" w:hAnsi="Times New Roman"/>
                <w:kern w:val="0"/>
                <w:sz w:val="24"/>
                <w:szCs w:val="24"/>
                <w:lang w:eastAsia="pt-BR"/>
              </w:rPr>
              <w:t>Art. 4º O SRP será adotado preferencialmente nas seguintes hipóteses:</w:t>
            </w:r>
            <w:r w:rsidRPr="00220682">
              <w:rPr>
                <w:rFonts w:ascii="Times New Roman" w:hAnsi="Times New Roman"/>
                <w:kern w:val="0"/>
                <w:sz w:val="24"/>
                <w:szCs w:val="24"/>
                <w:lang w:eastAsia="pt-BR"/>
              </w:rPr>
              <w:br/>
              <w:t xml:space="preserve">I - quando, pelas características do objeto, houver necessidade de </w:t>
            </w:r>
            <w:r w:rsidRPr="00220682">
              <w:rPr>
                <w:rFonts w:ascii="Times New Roman" w:hAnsi="Times New Roman"/>
                <w:kern w:val="0"/>
                <w:sz w:val="24"/>
                <w:szCs w:val="24"/>
                <w:lang w:eastAsia="pt-BR"/>
              </w:rPr>
              <w:lastRenderedPageBreak/>
              <w:t>contratações permanentes ou frequentes;</w:t>
            </w:r>
            <w:r w:rsidRPr="00220682">
              <w:rPr>
                <w:rFonts w:ascii="Times New Roman" w:hAnsi="Times New Roman"/>
                <w:kern w:val="0"/>
                <w:sz w:val="24"/>
                <w:szCs w:val="24"/>
                <w:lang w:eastAsia="pt-BR"/>
              </w:rPr>
              <w:br/>
              <w:t>II - quando for mais conveniente a aquisição de bens com previsão de entregas parceladas ou contratação de serviços</w:t>
            </w:r>
            <w:r w:rsidRPr="00220682">
              <w:rPr>
                <w:rFonts w:ascii="Times New Roman" w:hAnsi="Times New Roman"/>
                <w:kern w:val="0"/>
                <w:sz w:val="24"/>
                <w:szCs w:val="24"/>
                <w:lang w:eastAsia="pt-BR"/>
              </w:rPr>
              <w:br/>
              <w:t>remunerados por unidade de medida, por quantidade de horas de serviço ou em regime de tarefa;</w:t>
            </w:r>
            <w:r w:rsidRPr="00220682">
              <w:rPr>
                <w:rFonts w:ascii="Times New Roman" w:hAnsi="Times New Roman"/>
                <w:kern w:val="0"/>
                <w:sz w:val="24"/>
                <w:szCs w:val="24"/>
                <w:lang w:eastAsia="pt-BR"/>
              </w:rPr>
              <w:br/>
              <w:t>III - quando for conveniente para atendimento a mais de um órgão ou entidade;</w:t>
            </w:r>
          </w:p>
          <w:p w14:paraId="5627107B"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2:</w:t>
            </w:r>
            <w:r w:rsidRPr="00220682">
              <w:rPr>
                <w:rFonts w:ascii="Times New Roman" w:hAnsi="Times New Roman"/>
                <w:kern w:val="0"/>
                <w:sz w:val="24"/>
                <w:szCs w:val="24"/>
                <w:lang w:eastAsia="pt-BR"/>
              </w:rPr>
              <w:t> Esse tópico deve ser retirado caso o objeto do procedimento licitatório não se utilize do Sistema de Registro de Preços.</w:t>
            </w:r>
          </w:p>
          <w:p w14:paraId="33B03572" w14:textId="77777777" w:rsidR="009148D9" w:rsidRPr="00220682" w:rsidRDefault="009148D9" w:rsidP="001E0434">
            <w:pPr>
              <w:spacing w:line="276" w:lineRule="auto"/>
              <w:jc w:val="both"/>
              <w:rPr>
                <w:rFonts w:ascii="Times New Roman" w:hAnsi="Times New Roman"/>
                <w:kern w:val="0"/>
                <w:sz w:val="24"/>
                <w:szCs w:val="24"/>
                <w:lang w:eastAsia="pt-BR"/>
              </w:rPr>
            </w:pPr>
          </w:p>
        </w:tc>
      </w:tr>
    </w:tbl>
    <w:p w14:paraId="1D5865E2" w14:textId="77777777" w:rsidR="009148D9"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kern w:val="0"/>
          <w:sz w:val="24"/>
          <w:szCs w:val="24"/>
          <w:lang w:eastAsia="pt-BR"/>
        </w:rPr>
        <w:lastRenderedPageBreak/>
        <w:t>Nesse caso, o</w:t>
      </w:r>
      <w:r w:rsidRPr="008B08DC">
        <w:rPr>
          <w:rFonts w:ascii="Times New Roman" w:hAnsi="Times New Roman"/>
          <w:color w:val="FF0000"/>
          <w:kern w:val="0"/>
          <w:sz w:val="24"/>
          <w:szCs w:val="24"/>
          <w:lang w:eastAsia="pt-BR"/>
        </w:rPr>
        <w:t xml:space="preserve"> Sistema de Registro de Preços se configura como um conjunto de procedimentos para registro formal de preços relativos </w:t>
      </w:r>
      <w:proofErr w:type="gramStart"/>
      <w:r w:rsidRPr="008B08DC">
        <w:rPr>
          <w:rFonts w:ascii="Times New Roman" w:hAnsi="Times New Roman"/>
          <w:color w:val="FF0000"/>
          <w:kern w:val="0"/>
          <w:sz w:val="24"/>
          <w:szCs w:val="24"/>
          <w:lang w:eastAsia="pt-BR"/>
        </w:rPr>
        <w:t>a</w:t>
      </w:r>
      <w:proofErr w:type="gramEnd"/>
      <w:r w:rsidRPr="008B08DC">
        <w:rPr>
          <w:rFonts w:ascii="Times New Roman" w:hAnsi="Times New Roman"/>
          <w:color w:val="FF0000"/>
          <w:kern w:val="0"/>
          <w:sz w:val="24"/>
          <w:szCs w:val="24"/>
          <w:lang w:eastAsia="pt-BR"/>
        </w:rPr>
        <w:t xml:space="preserve"> prestação de serviços e aquisição de bens, para contratações futuras. Possui em suas características a possibilidade de ser utilizado para atender as pretensões contratuais de diversos órgãos em um único certame conduzido por um órgão gerenciador, </w:t>
      </w:r>
      <w:r w:rsidRPr="008B08DC">
        <w:rPr>
          <w:rFonts w:ascii="Times New Roman" w:hAnsi="Times New Roman"/>
          <w:i/>
          <w:iCs/>
          <w:color w:val="FF0000"/>
          <w:kern w:val="0"/>
          <w:sz w:val="24"/>
          <w:szCs w:val="24"/>
          <w:lang w:eastAsia="pt-BR"/>
        </w:rPr>
        <w:t>in caso</w:t>
      </w:r>
      <w:r w:rsidRPr="008B08DC">
        <w:rPr>
          <w:rFonts w:ascii="Times New Roman" w:hAnsi="Times New Roman"/>
          <w:color w:val="FF0000"/>
          <w:kern w:val="0"/>
          <w:sz w:val="24"/>
          <w:szCs w:val="24"/>
          <w:lang w:eastAsia="pt-BR"/>
        </w:rPr>
        <w:t xml:space="preserve">, a </w:t>
      </w:r>
      <w:r w:rsidRPr="008B08DC">
        <w:rPr>
          <w:rFonts w:ascii="Times New Roman" w:hAnsi="Times New Roman"/>
          <w:b/>
          <w:bCs/>
          <w:color w:val="FF0000"/>
          <w:kern w:val="0"/>
          <w:sz w:val="24"/>
          <w:szCs w:val="24"/>
          <w:lang w:eastAsia="pt-BR"/>
        </w:rPr>
        <w:t>Secretaria da Administração do Estado do Piauí</w:t>
      </w:r>
      <w:r w:rsidRPr="008B08DC">
        <w:rPr>
          <w:rFonts w:ascii="Times New Roman" w:hAnsi="Times New Roman"/>
          <w:color w:val="FF0000"/>
          <w:kern w:val="0"/>
          <w:sz w:val="24"/>
          <w:szCs w:val="24"/>
          <w:lang w:eastAsia="pt-BR"/>
        </w:rPr>
        <w:t>, competência esta atribuída pela Lei n 7.884, de 08 de dezembro de 2022</w:t>
      </w:r>
      <w:r w:rsidRPr="008B08DC">
        <w:rPr>
          <w:rFonts w:ascii="Times New Roman" w:hAnsi="Times New Roman"/>
          <w:kern w:val="0"/>
          <w:sz w:val="24"/>
          <w:szCs w:val="24"/>
          <w:lang w:eastAsia="pt-BR"/>
        </w:rPr>
        <w:t>.</w:t>
      </w:r>
    </w:p>
    <w:p w14:paraId="6349547C" w14:textId="77777777" w:rsidR="009148D9" w:rsidRPr="008B08DC"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kern w:val="0"/>
          <w:sz w:val="24"/>
          <w:szCs w:val="24"/>
          <w:lang w:eastAsia="pt-BR"/>
        </w:rPr>
        <w:t>A escolha pela utilização do </w:t>
      </w:r>
      <w:r w:rsidRPr="008B08DC">
        <w:rPr>
          <w:rFonts w:ascii="Times New Roman" w:hAnsi="Times New Roman"/>
          <w:b/>
          <w:bCs/>
          <w:kern w:val="0"/>
          <w:sz w:val="24"/>
          <w:szCs w:val="24"/>
          <w:lang w:eastAsia="pt-BR"/>
        </w:rPr>
        <w:t>Sistema de Registro de Preços,</w:t>
      </w:r>
      <w:r w:rsidRPr="008B08DC">
        <w:rPr>
          <w:rFonts w:ascii="Times New Roman" w:hAnsi="Times New Roman"/>
          <w:kern w:val="0"/>
          <w:sz w:val="24"/>
          <w:szCs w:val="24"/>
          <w:lang w:eastAsia="pt-BR"/>
        </w:rPr>
        <w:t> </w:t>
      </w:r>
      <w:r w:rsidRPr="008B08DC">
        <w:rPr>
          <w:rFonts w:ascii="Times New Roman" w:hAnsi="Times New Roman"/>
          <w:color w:val="FF0000"/>
          <w:kern w:val="0"/>
          <w:sz w:val="24"/>
          <w:szCs w:val="24"/>
          <w:lang w:eastAsia="pt-BR"/>
        </w:rPr>
        <w:t>justifica diante de diversos aspectos estratégicos e operacionais, visando atender de maneira eficiente e econômica as necessidades e demandas da gestão pública, possuindo inúmeras características vantajosas para a administração, por exemplo, o fato da existência de facultatividade na contratação dos produtos  do objeto licitado, sendo assim, a discricionariedade de agir conforme suas necessidades, podendo flexibilizar suas despesas, com a devida adequação aos recursos disponíveis.</w:t>
      </w:r>
    </w:p>
    <w:p w14:paraId="0F3AFA88" w14:textId="77777777" w:rsidR="009148D9" w:rsidRPr="008B08DC"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proofErr w:type="gramStart"/>
      <w:r w:rsidRPr="008B08DC">
        <w:rPr>
          <w:rFonts w:ascii="Times New Roman" w:hAnsi="Times New Roman"/>
          <w:b/>
          <w:bCs/>
          <w:kern w:val="0"/>
          <w:sz w:val="24"/>
          <w:szCs w:val="24"/>
          <w:lang w:eastAsia="pt-BR"/>
        </w:rPr>
        <w:t>Órgão ou entidade gerenciador</w:t>
      </w:r>
      <w:proofErr w:type="gramEnd"/>
      <w:r w:rsidRPr="008B08DC">
        <w:rPr>
          <w:rFonts w:ascii="Times New Roman" w:hAnsi="Times New Roman"/>
          <w:b/>
          <w:bCs/>
          <w:kern w:val="0"/>
          <w:sz w:val="24"/>
          <w:szCs w:val="24"/>
          <w:lang w:eastAsia="pt-BR"/>
        </w:rPr>
        <w:t xml:space="preserve"> da ata: </w:t>
      </w:r>
      <w:r w:rsidRPr="008B08DC">
        <w:rPr>
          <w:rFonts w:ascii="Times New Roman" w:hAnsi="Times New Roman"/>
          <w:color w:val="FF0000"/>
          <w:kern w:val="0"/>
          <w:sz w:val="24"/>
          <w:szCs w:val="24"/>
          <w:lang w:eastAsia="pt-BR"/>
        </w:rPr>
        <w:t>XXXXXXXXXXXX</w:t>
      </w:r>
    </w:p>
    <w:p w14:paraId="64A9F2F2" w14:textId="77777777" w:rsidR="009148D9"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Órgãos ou entidades participantes da ata:</w:t>
      </w:r>
      <w:r w:rsidRPr="008B08DC">
        <w:rPr>
          <w:rFonts w:ascii="Times New Roman" w:hAnsi="Times New Roman"/>
          <w:kern w:val="0"/>
          <w:sz w:val="24"/>
          <w:szCs w:val="24"/>
          <w:lang w:eastAsia="pt-BR"/>
        </w:rPr>
        <w:t xml:space="preserve"> Planilha de Consolidação da demanda</w:t>
      </w:r>
      <w:r w:rsidRPr="008B08DC">
        <w:rPr>
          <w:rFonts w:ascii="Times New Roman" w:hAnsi="Times New Roman"/>
          <w:color w:val="FF0000"/>
          <w:kern w:val="0"/>
          <w:sz w:val="24"/>
          <w:szCs w:val="24"/>
          <w:lang w:eastAsia="pt-BR"/>
        </w:rPr>
        <w:t xml:space="preserve"> (ID XXXXXXXXXXXXXX)</w:t>
      </w:r>
      <w:r w:rsidRPr="008B08DC">
        <w:rPr>
          <w:rFonts w:ascii="Times New Roman" w:hAnsi="Times New Roman"/>
          <w:kern w:val="0"/>
          <w:sz w:val="24"/>
          <w:szCs w:val="24"/>
          <w:lang w:eastAsia="pt-BR"/>
        </w:rPr>
        <w:t>.</w:t>
      </w:r>
    </w:p>
    <w:p w14:paraId="66DA08F3" w14:textId="77777777" w:rsidR="009148D9" w:rsidRPr="00C74EF6" w:rsidRDefault="009148D9" w:rsidP="00DC07C2">
      <w:pPr>
        <w:pStyle w:val="PargrafodaLista"/>
        <w:numPr>
          <w:ilvl w:val="2"/>
          <w:numId w:val="9"/>
        </w:numPr>
        <w:spacing w:line="276" w:lineRule="auto"/>
        <w:ind w:left="1418"/>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Prazo de vigência da ata e sua possibilidade de prorrogação: </w:t>
      </w:r>
    </w:p>
    <w:p w14:paraId="18217DC6" w14:textId="77777777" w:rsidR="006832DE" w:rsidRDefault="00C74EF6" w:rsidP="00C74EF6">
      <w:pPr>
        <w:pStyle w:val="PargrafodaLista"/>
        <w:numPr>
          <w:ilvl w:val="3"/>
          <w:numId w:val="9"/>
        </w:numPr>
        <w:spacing w:line="276" w:lineRule="auto"/>
        <w:jc w:val="both"/>
        <w:rPr>
          <w:rFonts w:ascii="Times New Roman" w:hAnsi="Times New Roman"/>
          <w:kern w:val="0"/>
          <w:sz w:val="24"/>
          <w:szCs w:val="24"/>
          <w:lang w:eastAsia="pt-BR"/>
        </w:rPr>
      </w:pPr>
      <w:r w:rsidRPr="00C74EF6">
        <w:rPr>
          <w:rFonts w:ascii="Times New Roman" w:hAnsi="Times New Roman"/>
          <w:b/>
          <w:bCs/>
          <w:kern w:val="0"/>
          <w:sz w:val="24"/>
          <w:szCs w:val="24"/>
          <w:lang w:eastAsia="pt-BR"/>
        </w:rPr>
        <w:t>Da Vigência da Ata de Registro de Preços:</w:t>
      </w:r>
      <w:r w:rsidRPr="00C74EF6">
        <w:rPr>
          <w:rFonts w:ascii="Times New Roman" w:hAnsi="Times New Roman"/>
          <w:kern w:val="0"/>
          <w:sz w:val="24"/>
          <w:szCs w:val="24"/>
          <w:lang w:eastAsia="pt-BR"/>
        </w:rPr>
        <w:t xml:space="preserve"> </w:t>
      </w:r>
    </w:p>
    <w:p w14:paraId="4AFDC8C8" w14:textId="00FC3E43" w:rsidR="00C74EF6" w:rsidRPr="00C74EF6" w:rsidRDefault="00C74EF6" w:rsidP="006832DE">
      <w:pPr>
        <w:pStyle w:val="PargrafodaLista"/>
        <w:numPr>
          <w:ilvl w:val="4"/>
          <w:numId w:val="9"/>
        </w:numPr>
        <w:spacing w:line="276" w:lineRule="auto"/>
        <w:jc w:val="both"/>
        <w:rPr>
          <w:rFonts w:ascii="Times New Roman" w:hAnsi="Times New Roman"/>
          <w:kern w:val="0"/>
          <w:sz w:val="24"/>
          <w:szCs w:val="24"/>
          <w:lang w:eastAsia="pt-BR"/>
        </w:rPr>
      </w:pPr>
      <w:r w:rsidRPr="00C74EF6">
        <w:rPr>
          <w:rFonts w:ascii="Times New Roman" w:hAnsi="Times New Roman"/>
          <w:kern w:val="0"/>
          <w:sz w:val="24"/>
          <w:szCs w:val="24"/>
          <w:lang w:eastAsia="pt-BR"/>
        </w:rPr>
        <w:t xml:space="preserve">A Ata de Registro de Preços terá prazo de vigência de 1 (um) ano, contado a partir do primeiro dia útil subsequente à data de sua divulgação no Portal Nacional de Contratações Públicas (PNCP), conforme o </w:t>
      </w:r>
      <w:r w:rsidRPr="00C74EF6">
        <w:rPr>
          <w:rFonts w:ascii="Times New Roman" w:hAnsi="Times New Roman"/>
          <w:b/>
          <w:bCs/>
          <w:kern w:val="0"/>
          <w:sz w:val="24"/>
          <w:szCs w:val="24"/>
          <w:lang w:eastAsia="pt-BR"/>
        </w:rPr>
        <w:t>Art. 84 da Lei Federal nº 14.133/2021</w:t>
      </w:r>
      <w:r w:rsidRPr="00C74EF6">
        <w:rPr>
          <w:rFonts w:ascii="Times New Roman" w:hAnsi="Times New Roman"/>
          <w:kern w:val="0"/>
          <w:sz w:val="24"/>
          <w:szCs w:val="24"/>
          <w:lang w:eastAsia="pt-BR"/>
        </w:rPr>
        <w:t xml:space="preserve"> e o </w:t>
      </w:r>
      <w:r w:rsidRPr="00C74EF6">
        <w:rPr>
          <w:rFonts w:ascii="Times New Roman" w:hAnsi="Times New Roman"/>
          <w:b/>
          <w:bCs/>
          <w:kern w:val="0"/>
          <w:sz w:val="24"/>
          <w:szCs w:val="24"/>
          <w:lang w:eastAsia="pt-BR"/>
        </w:rPr>
        <w:t>Art. 23 do Decreto Estadual nº 21.938, de 28 de março de 2023</w:t>
      </w:r>
      <w:r>
        <w:rPr>
          <w:rFonts w:ascii="Times New Roman" w:hAnsi="Times New Roman"/>
          <w:b/>
          <w:bCs/>
          <w:kern w:val="0"/>
          <w:sz w:val="24"/>
          <w:szCs w:val="24"/>
          <w:lang w:eastAsia="pt-BR"/>
        </w:rPr>
        <w:t>.</w:t>
      </w:r>
    </w:p>
    <w:p w14:paraId="34DC1675" w14:textId="77777777" w:rsidR="006832DE" w:rsidRDefault="006832DE" w:rsidP="00C74EF6">
      <w:pPr>
        <w:pStyle w:val="PargrafodaLista"/>
        <w:numPr>
          <w:ilvl w:val="3"/>
          <w:numId w:val="9"/>
        </w:numPr>
        <w:spacing w:line="276" w:lineRule="auto"/>
        <w:jc w:val="both"/>
        <w:rPr>
          <w:rFonts w:ascii="Times New Roman" w:hAnsi="Times New Roman"/>
          <w:kern w:val="0"/>
          <w:sz w:val="24"/>
          <w:szCs w:val="24"/>
          <w:lang w:eastAsia="pt-BR"/>
        </w:rPr>
      </w:pPr>
      <w:r w:rsidRPr="006832DE">
        <w:rPr>
          <w:rFonts w:ascii="Times New Roman" w:hAnsi="Times New Roman"/>
          <w:b/>
          <w:bCs/>
          <w:kern w:val="0"/>
          <w:sz w:val="24"/>
          <w:szCs w:val="24"/>
          <w:lang w:eastAsia="pt-BR"/>
        </w:rPr>
        <w:t>Da Possibilidade de Prorrogação e Renovação de Quantitativos:</w:t>
      </w:r>
      <w:r w:rsidRPr="006832DE">
        <w:rPr>
          <w:rFonts w:ascii="Times New Roman" w:hAnsi="Times New Roman"/>
          <w:kern w:val="0"/>
          <w:sz w:val="24"/>
          <w:szCs w:val="24"/>
          <w:lang w:eastAsia="pt-BR"/>
        </w:rPr>
        <w:t xml:space="preserve"> </w:t>
      </w:r>
    </w:p>
    <w:p w14:paraId="2EF44493" w14:textId="77777777" w:rsidR="006832DE" w:rsidRDefault="006832DE" w:rsidP="006832DE">
      <w:pPr>
        <w:pStyle w:val="PargrafodaLista"/>
        <w:numPr>
          <w:ilvl w:val="4"/>
          <w:numId w:val="9"/>
        </w:numPr>
        <w:spacing w:line="276" w:lineRule="auto"/>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A vigência da Ata de Registro de Preços </w:t>
      </w:r>
      <w:r w:rsidRPr="006832DE">
        <w:rPr>
          <w:rFonts w:ascii="Times New Roman" w:hAnsi="Times New Roman"/>
          <w:b/>
          <w:bCs/>
          <w:kern w:val="0"/>
          <w:sz w:val="24"/>
          <w:szCs w:val="24"/>
          <w:lang w:eastAsia="pt-BR"/>
        </w:rPr>
        <w:t>poderá ser prorrogada por igual período (ou seja, por mais 1 (um) ano)</w:t>
      </w:r>
      <w:r w:rsidRPr="006832DE">
        <w:rPr>
          <w:rFonts w:ascii="Times New Roman" w:hAnsi="Times New Roman"/>
          <w:kern w:val="0"/>
          <w:sz w:val="24"/>
          <w:szCs w:val="24"/>
          <w:lang w:eastAsia="pt-BR"/>
        </w:rPr>
        <w:t xml:space="preserve">, desde que comprovado que o preço registrado permanece </w:t>
      </w:r>
      <w:r w:rsidRPr="006832DE">
        <w:rPr>
          <w:rFonts w:ascii="Times New Roman" w:hAnsi="Times New Roman"/>
          <w:kern w:val="0"/>
          <w:sz w:val="24"/>
          <w:szCs w:val="24"/>
          <w:lang w:eastAsia="pt-BR"/>
        </w:rPr>
        <w:lastRenderedPageBreak/>
        <w:t xml:space="preserve">vantajoso para a Administração, em conformidade com o </w:t>
      </w:r>
      <w:r w:rsidRPr="006832DE">
        <w:rPr>
          <w:rFonts w:ascii="Times New Roman" w:hAnsi="Times New Roman"/>
          <w:b/>
          <w:bCs/>
          <w:kern w:val="0"/>
          <w:sz w:val="24"/>
          <w:szCs w:val="24"/>
          <w:lang w:eastAsia="pt-BR"/>
        </w:rPr>
        <w:t>Art. 23 do Decreto Estadual nº 21.938/2023</w:t>
      </w:r>
      <w:r w:rsidRPr="006832DE">
        <w:rPr>
          <w:rFonts w:ascii="Times New Roman" w:hAnsi="Times New Roman"/>
          <w:kern w:val="0"/>
          <w:sz w:val="24"/>
          <w:szCs w:val="24"/>
          <w:lang w:eastAsia="pt-BR"/>
        </w:rPr>
        <w:t xml:space="preserve">. </w:t>
      </w:r>
    </w:p>
    <w:p w14:paraId="6D047A73" w14:textId="113F9E91" w:rsidR="00C74EF6" w:rsidRDefault="006832DE" w:rsidP="006832DE">
      <w:pPr>
        <w:pStyle w:val="PargrafodaLista"/>
        <w:numPr>
          <w:ilvl w:val="4"/>
          <w:numId w:val="9"/>
        </w:numPr>
        <w:spacing w:line="276" w:lineRule="auto"/>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Em caso de prorrogação da vigência da Ata de Registro de Preços, fica </w:t>
      </w:r>
      <w:r w:rsidRPr="006832DE">
        <w:rPr>
          <w:rFonts w:ascii="Times New Roman" w:hAnsi="Times New Roman"/>
          <w:b/>
          <w:bCs/>
          <w:kern w:val="0"/>
          <w:sz w:val="24"/>
          <w:szCs w:val="24"/>
          <w:lang w:eastAsia="pt-BR"/>
        </w:rPr>
        <w:t>expressamente prevista a possibilidade de renovação do quantitativo inicialmente registrado</w:t>
      </w:r>
      <w:r w:rsidRPr="006832DE">
        <w:rPr>
          <w:rFonts w:ascii="Times New Roman" w:hAnsi="Times New Roman"/>
          <w:kern w:val="0"/>
          <w:sz w:val="24"/>
          <w:szCs w:val="24"/>
          <w:lang w:eastAsia="pt-BR"/>
        </w:rPr>
        <w:t xml:space="preserve"> para o novo período de vigência. Esta renovação implica na replicação da estimativa de consumo anual para o ano subsequente de prorrogação, em atenção à anualidade do planejamento</w:t>
      </w:r>
      <w:r>
        <w:rPr>
          <w:rFonts w:ascii="Times New Roman" w:hAnsi="Times New Roman"/>
          <w:kern w:val="0"/>
          <w:sz w:val="24"/>
          <w:szCs w:val="24"/>
          <w:lang w:eastAsia="pt-BR"/>
        </w:rPr>
        <w:t xml:space="preserve">. </w:t>
      </w:r>
    </w:p>
    <w:p w14:paraId="2BC9CB89" w14:textId="77777777" w:rsidR="00C74EF6" w:rsidRPr="00C74EF6" w:rsidRDefault="00C74EF6" w:rsidP="00C74EF6">
      <w:pPr>
        <w:pStyle w:val="PargrafodaLista"/>
        <w:spacing w:line="276" w:lineRule="auto"/>
        <w:ind w:left="1418"/>
        <w:jc w:val="both"/>
        <w:rPr>
          <w:rFonts w:ascii="Times New Roman" w:hAnsi="Times New Roman"/>
          <w:kern w:val="0"/>
          <w:sz w:val="24"/>
          <w:szCs w:val="24"/>
          <w:lang w:eastAsia="pt-BR"/>
        </w:rPr>
      </w:pPr>
    </w:p>
    <w:tbl>
      <w:tblPr>
        <w:tblW w:w="9511"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11"/>
      </w:tblGrid>
      <w:tr w:rsidR="009148D9" w:rsidRPr="00220682" w14:paraId="53562D9D" w14:textId="77777777" w:rsidTr="001E0434">
        <w:trPr>
          <w:trHeight w:val="2405"/>
          <w:tblCellSpacing w:w="7" w:type="dxa"/>
          <w:jc w:val="center"/>
        </w:trPr>
        <w:tc>
          <w:tcPr>
            <w:tcW w:w="9483" w:type="dxa"/>
            <w:tcBorders>
              <w:top w:val="outset" w:sz="6" w:space="0" w:color="auto"/>
              <w:bottom w:val="outset" w:sz="6" w:space="0" w:color="auto"/>
            </w:tcBorders>
            <w:shd w:val="clear" w:color="auto" w:fill="FFFFCC"/>
            <w:vAlign w:val="center"/>
            <w:hideMark/>
          </w:tcPr>
          <w:p w14:paraId="559646B7"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3: </w:t>
            </w:r>
            <w:r w:rsidRPr="00220682">
              <w:rPr>
                <w:rFonts w:ascii="Times New Roman" w:hAnsi="Times New Roman"/>
                <w:kern w:val="0"/>
                <w:sz w:val="24"/>
                <w:szCs w:val="24"/>
                <w:lang w:eastAsia="pt-BR"/>
              </w:rPr>
              <w:t xml:space="preserve">A Ata de Registro de Preços decorrente do presente pregão eletrônico terá validade de </w:t>
            </w:r>
            <w:r w:rsidRPr="00220682">
              <w:rPr>
                <w:rFonts w:ascii="Times New Roman" w:hAnsi="Times New Roman"/>
                <w:b/>
                <w:bCs/>
                <w:kern w:val="0"/>
                <w:sz w:val="24"/>
                <w:szCs w:val="24"/>
                <w:lang w:eastAsia="pt-BR"/>
              </w:rPr>
              <w:t>01 (um) ano,</w:t>
            </w:r>
            <w:r w:rsidRPr="00220682">
              <w:rPr>
                <w:rFonts w:ascii="Times New Roman" w:hAnsi="Times New Roman"/>
                <w:kern w:val="0"/>
                <w:sz w:val="24"/>
                <w:szCs w:val="24"/>
                <w:lang w:eastAsia="pt-BR"/>
              </w:rPr>
              <w:t xml:space="preserve"> contado a partir do 1º dia útil subsequente à data de divulgação no PNCP, e poderá ser prorrogada, por igual período, desde que comprovado o preço vantajoso, conforme o art. 17 DECRETO Nº 21.938, DE 28 DE MARÇO DE 2023.</w:t>
            </w:r>
          </w:p>
          <w:p w14:paraId="01657FBB" w14:textId="77777777" w:rsidR="009148D9" w:rsidRDefault="009148D9" w:rsidP="001E0434">
            <w:pPr>
              <w:spacing w:line="276" w:lineRule="auto"/>
              <w:ind w:left="1656"/>
              <w:jc w:val="both"/>
              <w:rPr>
                <w:rFonts w:ascii="Times New Roman" w:hAnsi="Times New Roman"/>
                <w:kern w:val="0"/>
                <w:sz w:val="24"/>
                <w:szCs w:val="24"/>
                <w:lang w:eastAsia="pt-BR"/>
              </w:rPr>
            </w:pPr>
            <w:r w:rsidRPr="00220682">
              <w:rPr>
                <w:rFonts w:ascii="Times New Roman" w:hAnsi="Times New Roman"/>
                <w:kern w:val="0"/>
                <w:sz w:val="24"/>
                <w:szCs w:val="24"/>
                <w:lang w:eastAsia="pt-BR"/>
              </w:rPr>
              <w:t>Art. 17. O edital de licitação para registro de preços observará as regras gerais da Lei nº 14.133, de 2021, e deverá dispor sobre: Inciso X - o prazo de vigência da ata de registro de preços, que será de 1 (um) ano e poderá ser prorrogado, por igual período, desde que comprovado o preço vantajoso.</w:t>
            </w:r>
          </w:p>
          <w:p w14:paraId="28F44105" w14:textId="4785AC6A" w:rsidR="006832DE" w:rsidRPr="006832DE" w:rsidRDefault="006832DE" w:rsidP="006832DE">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 xml:space="preserve">Nota Explicativa </w:t>
            </w:r>
            <w:r>
              <w:rPr>
                <w:rFonts w:ascii="Times New Roman" w:hAnsi="Times New Roman"/>
                <w:b/>
                <w:bCs/>
                <w:kern w:val="0"/>
                <w:sz w:val="24"/>
                <w:szCs w:val="24"/>
                <w:lang w:eastAsia="pt-BR"/>
              </w:rPr>
              <w:t xml:space="preserve">4: </w:t>
            </w:r>
            <w:r w:rsidRPr="006832DE">
              <w:rPr>
                <w:rFonts w:ascii="Times New Roman" w:hAnsi="Times New Roman"/>
                <w:kern w:val="0"/>
                <w:sz w:val="24"/>
                <w:szCs w:val="24"/>
                <w:lang w:eastAsia="pt-BR"/>
              </w:rPr>
              <w:t xml:space="preserve">A prorrogação da vigência e a consequente renovação dos quantitativos somente serão efetivadas se cumpridas, cumulativamente, as seguintes condições: </w:t>
            </w:r>
          </w:p>
          <w:p w14:paraId="604DBD18" w14:textId="77777777" w:rsidR="006832DE"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a) </w:t>
            </w:r>
            <w:r w:rsidRPr="006832DE">
              <w:rPr>
                <w:rFonts w:ascii="Times New Roman" w:hAnsi="Times New Roman"/>
                <w:b/>
                <w:bCs/>
                <w:kern w:val="0"/>
                <w:sz w:val="24"/>
                <w:szCs w:val="24"/>
                <w:lang w:eastAsia="pt-BR"/>
              </w:rPr>
              <w:t>Comprovação da Vantajosidade do Preço:</w:t>
            </w:r>
            <w:r w:rsidRPr="006832DE">
              <w:rPr>
                <w:rFonts w:ascii="Times New Roman" w:hAnsi="Times New Roman"/>
                <w:kern w:val="0"/>
                <w:sz w:val="24"/>
                <w:szCs w:val="24"/>
                <w:lang w:eastAsia="pt-BR"/>
              </w:rPr>
              <w:t xml:space="preserve"> Deverá ser comprovado que o preço registrado na Ata permanece vantajoso para a Administração no momento da prorrogação, por meio de pesquisa de mercado ou outro método que demonstre a competitividade e a economicidade da contratação. </w:t>
            </w:r>
          </w:p>
          <w:p w14:paraId="69F27C92" w14:textId="77777777" w:rsidR="006832DE"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b) </w:t>
            </w:r>
            <w:r w:rsidRPr="006832DE">
              <w:rPr>
                <w:rFonts w:ascii="Times New Roman" w:hAnsi="Times New Roman"/>
                <w:b/>
                <w:bCs/>
                <w:kern w:val="0"/>
                <w:sz w:val="24"/>
                <w:szCs w:val="24"/>
                <w:lang w:eastAsia="pt-BR"/>
              </w:rPr>
              <w:t>Previsão Expressa:</w:t>
            </w:r>
            <w:r w:rsidRPr="006832DE">
              <w:rPr>
                <w:rFonts w:ascii="Times New Roman" w:hAnsi="Times New Roman"/>
                <w:kern w:val="0"/>
                <w:sz w:val="24"/>
                <w:szCs w:val="24"/>
                <w:lang w:eastAsia="pt-BR"/>
              </w:rPr>
              <w:t xml:space="preserve"> A possibilidade de prorrogação da vigência da Ata e a renovação dos quantitativos deverão estar expressamente previstas e detalhadas neste Edital (e seus anexos, incluindo este Termo de Referência) e na própria Ata de Registro de Preços. </w:t>
            </w:r>
          </w:p>
          <w:p w14:paraId="0123BEAA" w14:textId="59BBBBDD" w:rsidR="006832DE" w:rsidRPr="00220682" w:rsidRDefault="006832DE" w:rsidP="001E0434">
            <w:pPr>
              <w:spacing w:line="276" w:lineRule="auto"/>
              <w:ind w:left="1656"/>
              <w:jc w:val="both"/>
              <w:rPr>
                <w:rFonts w:ascii="Times New Roman" w:hAnsi="Times New Roman"/>
                <w:kern w:val="0"/>
                <w:sz w:val="24"/>
                <w:szCs w:val="24"/>
                <w:lang w:eastAsia="pt-BR"/>
              </w:rPr>
            </w:pPr>
            <w:r w:rsidRPr="006832DE">
              <w:rPr>
                <w:rFonts w:ascii="Times New Roman" w:hAnsi="Times New Roman"/>
                <w:kern w:val="0"/>
                <w:sz w:val="24"/>
                <w:szCs w:val="24"/>
                <w:lang w:eastAsia="pt-BR"/>
              </w:rPr>
              <w:t xml:space="preserve">c) </w:t>
            </w:r>
            <w:r w:rsidRPr="006832DE">
              <w:rPr>
                <w:rFonts w:ascii="Times New Roman" w:hAnsi="Times New Roman"/>
                <w:b/>
                <w:bCs/>
                <w:kern w:val="0"/>
                <w:sz w:val="24"/>
                <w:szCs w:val="24"/>
                <w:lang w:eastAsia="pt-BR"/>
              </w:rPr>
              <w:t>Planejamento Adequado da Contratação:</w:t>
            </w:r>
            <w:r w:rsidRPr="006832DE">
              <w:rPr>
                <w:rFonts w:ascii="Times New Roman" w:hAnsi="Times New Roman"/>
                <w:kern w:val="0"/>
                <w:sz w:val="24"/>
                <w:szCs w:val="24"/>
                <w:lang w:eastAsia="pt-BR"/>
              </w:rPr>
              <w:t xml:space="preserve"> O tema da prorrogação e da renovação dos quantitativos deve ter sido devidamente tratado e justificado na fase de planejamento da contratação, demonstrando a necessidade da previsão de consumo anual para os exercícios futuros, caso a Ata venha a ser prorrogada</w:t>
            </w:r>
            <w:r>
              <w:rPr>
                <w:rFonts w:ascii="Times New Roman" w:hAnsi="Times New Roman"/>
                <w:kern w:val="0"/>
                <w:sz w:val="24"/>
                <w:szCs w:val="24"/>
                <w:lang w:eastAsia="pt-BR"/>
              </w:rPr>
              <w:t xml:space="preserve">; </w:t>
            </w:r>
            <w:r w:rsidRPr="006832DE">
              <w:rPr>
                <w:rFonts w:ascii="Times New Roman" w:hAnsi="Times New Roman"/>
                <w:kern w:val="0"/>
                <w:sz w:val="24"/>
                <w:szCs w:val="24"/>
                <w:lang w:eastAsia="pt-BR"/>
              </w:rPr>
              <w:t xml:space="preserve">d) </w:t>
            </w:r>
            <w:r>
              <w:rPr>
                <w:rFonts w:ascii="Times New Roman" w:hAnsi="Times New Roman"/>
                <w:kern w:val="0"/>
                <w:sz w:val="24"/>
                <w:szCs w:val="24"/>
                <w:lang w:eastAsia="pt-BR"/>
              </w:rPr>
              <w:t>d)</w:t>
            </w:r>
            <w:r w:rsidRPr="006832DE">
              <w:rPr>
                <w:rFonts w:ascii="Times New Roman" w:hAnsi="Times New Roman"/>
                <w:b/>
                <w:bCs/>
                <w:kern w:val="0"/>
                <w:sz w:val="24"/>
                <w:szCs w:val="24"/>
                <w:lang w:eastAsia="pt-BR"/>
              </w:rPr>
              <w:t>Ocorrência da Prorrogação Dentro do Prazo de Vigência:</w:t>
            </w:r>
            <w:r w:rsidRPr="006832DE">
              <w:rPr>
                <w:rFonts w:ascii="Times New Roman" w:hAnsi="Times New Roman"/>
                <w:kern w:val="0"/>
                <w:sz w:val="24"/>
                <w:szCs w:val="24"/>
                <w:lang w:eastAsia="pt-BR"/>
              </w:rPr>
              <w:t xml:space="preserve"> A decisão e a formalização da prorrogação da vigência da Ata de Registro de Preços, juntamente com a renovação dos quantitativos associados, deverão ser realizadas impreterivelmente antes do término do prazo de vigência original da Ata</w:t>
            </w:r>
          </w:p>
        </w:tc>
      </w:tr>
    </w:tbl>
    <w:p w14:paraId="2C20C02C"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DAS DISPOSIÇÕES FINAIS</w:t>
      </w:r>
    </w:p>
    <w:p w14:paraId="7F7918A5"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 xml:space="preserve">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w:t>
      </w:r>
      <w:r w:rsidRPr="008B08DC">
        <w:rPr>
          <w:rFonts w:ascii="Times New Roman" w:hAnsi="Times New Roman"/>
          <w:kern w:val="0"/>
          <w:sz w:val="24"/>
          <w:szCs w:val="24"/>
          <w:lang w:eastAsia="pt-BR"/>
        </w:rPr>
        <w:lastRenderedPageBreak/>
        <w:t>apresentado, ou, caso tenha sido o vencedor, a rescisão do contrato ou da prestação dos serviços, s</w:t>
      </w:r>
      <w:r w:rsidRPr="008B08DC">
        <w:rPr>
          <w:rFonts w:ascii="Times New Roman" w:hAnsi="Times New Roman"/>
          <w:strike/>
          <w:kern w:val="0"/>
          <w:sz w:val="24"/>
          <w:szCs w:val="24"/>
          <w:lang w:eastAsia="pt-BR"/>
        </w:rPr>
        <w:t>e</w:t>
      </w:r>
      <w:r w:rsidRPr="008B08DC">
        <w:rPr>
          <w:rFonts w:ascii="Times New Roman" w:hAnsi="Times New Roman"/>
          <w:kern w:val="0"/>
          <w:sz w:val="24"/>
          <w:szCs w:val="24"/>
          <w:lang w:eastAsia="pt-BR"/>
        </w:rPr>
        <w:t>m prejuízo das demais sanções cabíveis;</w:t>
      </w:r>
    </w:p>
    <w:p w14:paraId="63B368C7"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8B08DC">
        <w:rPr>
          <w:rFonts w:ascii="Times New Roman" w:hAnsi="Times New Roman"/>
          <w:kern w:val="0"/>
          <w:sz w:val="24"/>
          <w:szCs w:val="24"/>
          <w:lang w:eastAsia="pt-BR"/>
        </w:rPr>
        <w:t>As normas que disciplinam este procedimento licitatório serão sempre interpretadas em favor da ampliação da disputa entre os proponentes, desde que não comprometam o interesse da Administração, a finalidade e a segurança da contratação;</w:t>
      </w:r>
    </w:p>
    <w:p w14:paraId="74C7776D" w14:textId="77777777" w:rsidR="009148D9"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974718">
        <w:rPr>
          <w:rFonts w:ascii="Times New Roman" w:hAnsi="Times New Roman"/>
          <w:kern w:val="0"/>
          <w:sz w:val="24"/>
          <w:szCs w:val="24"/>
          <w:lang w:eastAsia="pt-BR"/>
        </w:rPr>
        <w:t>A participação do proponente neste certame implica em aceitação de todos os termos deste Termo de Referência.</w:t>
      </w:r>
    </w:p>
    <w:p w14:paraId="233D8856" w14:textId="77777777" w:rsidR="009148D9" w:rsidRPr="00974718" w:rsidRDefault="009148D9" w:rsidP="00DC07C2">
      <w:pPr>
        <w:pStyle w:val="PargrafodaLista"/>
        <w:numPr>
          <w:ilvl w:val="1"/>
          <w:numId w:val="9"/>
        </w:numPr>
        <w:tabs>
          <w:tab w:val="left" w:pos="1134"/>
        </w:tabs>
        <w:spacing w:line="276" w:lineRule="auto"/>
        <w:ind w:left="709" w:hanging="283"/>
        <w:jc w:val="both"/>
        <w:rPr>
          <w:rFonts w:ascii="Times New Roman" w:hAnsi="Times New Roman"/>
          <w:kern w:val="0"/>
          <w:sz w:val="24"/>
          <w:szCs w:val="24"/>
          <w:lang w:eastAsia="pt-BR"/>
        </w:rPr>
      </w:pPr>
      <w:r w:rsidRPr="00974718">
        <w:rPr>
          <w:rFonts w:ascii="Times New Roman" w:hAnsi="Times New Roman"/>
          <w:kern w:val="0"/>
          <w:sz w:val="24"/>
          <w:szCs w:val="24"/>
          <w:lang w:eastAsia="pt-BR"/>
        </w:rPr>
        <w:t xml:space="preserve">O foro designado para julgamento de quaisquer questões judiciais resultantes deste Termo de Referência será o do </w:t>
      </w:r>
      <w:r w:rsidRPr="00974718">
        <w:rPr>
          <w:rFonts w:ascii="Times New Roman" w:hAnsi="Times New Roman"/>
          <w:b/>
          <w:bCs/>
          <w:color w:val="FF0000"/>
          <w:kern w:val="0"/>
          <w:sz w:val="24"/>
          <w:szCs w:val="24"/>
          <w:lang w:eastAsia="pt-BR"/>
        </w:rPr>
        <w:t>Município de Teresina – Piauí.</w:t>
      </w:r>
    </w:p>
    <w:p w14:paraId="0AA408E9" w14:textId="77777777" w:rsidR="009148D9" w:rsidRPr="008B08DC" w:rsidRDefault="009148D9" w:rsidP="009148D9">
      <w:pPr>
        <w:pStyle w:val="PargrafodaLista"/>
        <w:spacing w:line="276" w:lineRule="auto"/>
        <w:ind w:left="900"/>
        <w:jc w:val="both"/>
        <w:rPr>
          <w:rFonts w:ascii="Times New Roman" w:hAnsi="Times New Roman"/>
          <w:kern w:val="0"/>
          <w:sz w:val="24"/>
          <w:szCs w:val="24"/>
          <w:lang w:eastAsia="pt-BR"/>
        </w:rPr>
      </w:pPr>
    </w:p>
    <w:p w14:paraId="51F698ED" w14:textId="77777777" w:rsidR="009148D9" w:rsidRPr="008B08DC" w:rsidRDefault="009148D9" w:rsidP="00DC07C2">
      <w:pPr>
        <w:pStyle w:val="PargrafodaLista"/>
        <w:numPr>
          <w:ilvl w:val="0"/>
          <w:numId w:val="9"/>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ANEXOS DO TERMO DE REFERÊNCIA:</w:t>
      </w:r>
    </w:p>
    <w:p w14:paraId="7C55A478"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 - ESTUDO TÉCNICO PRELIMINAR </w:t>
      </w:r>
      <w:r w:rsidRPr="008B08DC">
        <w:rPr>
          <w:rFonts w:ascii="Times New Roman" w:hAnsi="Times New Roman"/>
          <w:b/>
          <w:bCs/>
          <w:color w:val="FF0000"/>
          <w:kern w:val="0"/>
          <w:sz w:val="24"/>
          <w:szCs w:val="24"/>
          <w:lang w:eastAsia="pt-BR"/>
        </w:rPr>
        <w:t>(ID XXXXX)</w:t>
      </w:r>
    </w:p>
    <w:p w14:paraId="7C9390C4"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II -</w:t>
      </w:r>
      <w:r w:rsidRPr="008B08DC">
        <w:rPr>
          <w:rFonts w:ascii="Times New Roman" w:hAnsi="Times New Roman"/>
          <w:kern w:val="0"/>
          <w:sz w:val="24"/>
          <w:szCs w:val="24"/>
          <w:lang w:eastAsia="pt-BR"/>
        </w:rPr>
        <w:t> </w:t>
      </w:r>
      <w:r w:rsidRPr="008B08DC">
        <w:rPr>
          <w:rFonts w:ascii="Times New Roman" w:hAnsi="Times New Roman"/>
          <w:b/>
          <w:bCs/>
          <w:kern w:val="0"/>
          <w:sz w:val="24"/>
          <w:szCs w:val="24"/>
          <w:lang w:eastAsia="pt-BR"/>
        </w:rPr>
        <w:t>DA ESTIMATIVA DAS QUANTIDADES </w:t>
      </w:r>
    </w:p>
    <w:p w14:paraId="4425B51A" w14:textId="77777777" w:rsidR="009148D9" w:rsidRPr="008B08DC"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III - MATRIZ DE ALOCAÇÃO DE RISCOS</w:t>
      </w:r>
    </w:p>
    <w:p w14:paraId="75A170B2" w14:textId="77777777" w:rsidR="009148D9" w:rsidRPr="00442E94" w:rsidRDefault="009148D9" w:rsidP="00DC07C2">
      <w:pPr>
        <w:pStyle w:val="PargrafodaLista"/>
        <w:numPr>
          <w:ilvl w:val="1"/>
          <w:numId w:val="9"/>
        </w:numPr>
        <w:spacing w:line="276" w:lineRule="auto"/>
        <w:jc w:val="both"/>
        <w:rPr>
          <w:rFonts w:ascii="Times New Roman" w:hAnsi="Times New Roman"/>
          <w:kern w:val="0"/>
          <w:sz w:val="24"/>
          <w:szCs w:val="24"/>
          <w:lang w:eastAsia="pt-BR"/>
        </w:rPr>
      </w:pPr>
      <w:r w:rsidRPr="008B08DC">
        <w:rPr>
          <w:rFonts w:ascii="Times New Roman" w:hAnsi="Times New Roman"/>
          <w:b/>
          <w:bCs/>
          <w:kern w:val="0"/>
          <w:sz w:val="24"/>
          <w:szCs w:val="24"/>
          <w:lang w:eastAsia="pt-BR"/>
        </w:rPr>
        <w:t>ANEXO IV - INSTRUMENTO DE MEDIÇÃO DE RESULTADOS</w:t>
      </w:r>
    </w:p>
    <w:p w14:paraId="4D6D5D17" w14:textId="77777777" w:rsidR="009148D9" w:rsidRPr="008B08DC" w:rsidRDefault="009148D9" w:rsidP="009148D9">
      <w:pPr>
        <w:pStyle w:val="PargrafodaLista"/>
        <w:spacing w:line="276" w:lineRule="auto"/>
        <w:ind w:left="900"/>
        <w:jc w:val="both"/>
        <w:rPr>
          <w:rFonts w:ascii="Times New Roman" w:hAnsi="Times New Roman"/>
          <w:kern w:val="0"/>
          <w:sz w:val="24"/>
          <w:szCs w:val="24"/>
          <w:lang w:eastAsia="pt-BR"/>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34"/>
      </w:tblGrid>
      <w:tr w:rsidR="009148D9" w:rsidRPr="00220682" w14:paraId="48BD5A97" w14:textId="77777777" w:rsidTr="001E0434">
        <w:trPr>
          <w:tblCellSpacing w:w="7" w:type="dxa"/>
          <w:jc w:val="center"/>
        </w:trPr>
        <w:tc>
          <w:tcPr>
            <w:tcW w:w="0" w:type="auto"/>
            <w:tcBorders>
              <w:top w:val="outset" w:sz="6" w:space="0" w:color="auto"/>
              <w:bottom w:val="outset" w:sz="6" w:space="0" w:color="auto"/>
            </w:tcBorders>
            <w:shd w:val="clear" w:color="auto" w:fill="FFFFCC"/>
            <w:vAlign w:val="center"/>
            <w:hideMark/>
          </w:tcPr>
          <w:p w14:paraId="77992214" w14:textId="77777777" w:rsidR="009148D9" w:rsidRPr="00220682" w:rsidRDefault="009148D9" w:rsidP="001E0434">
            <w:p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Nota Explicativa 1:</w:t>
            </w:r>
            <w:r w:rsidRPr="00220682">
              <w:rPr>
                <w:rFonts w:ascii="Times New Roman" w:hAnsi="Times New Roman"/>
                <w:kern w:val="0"/>
                <w:sz w:val="24"/>
                <w:szCs w:val="24"/>
                <w:lang w:eastAsia="pt-BR"/>
              </w:rPr>
              <w:t> Os anexos propostos são meramente exemplificativos</w:t>
            </w:r>
            <w:r>
              <w:rPr>
                <w:rFonts w:ascii="Times New Roman" w:hAnsi="Times New Roman"/>
                <w:kern w:val="0"/>
                <w:sz w:val="24"/>
                <w:szCs w:val="24"/>
                <w:lang w:eastAsia="pt-BR"/>
              </w:rPr>
              <w:t>.</w:t>
            </w:r>
          </w:p>
        </w:tc>
      </w:tr>
    </w:tbl>
    <w:p w14:paraId="2349407A" w14:textId="77777777" w:rsidR="009148D9" w:rsidRDefault="009148D9" w:rsidP="009148D9">
      <w:pPr>
        <w:spacing w:before="100" w:beforeAutospacing="1" w:after="100" w:afterAutospacing="1"/>
        <w:jc w:val="both"/>
        <w:rPr>
          <w:rFonts w:ascii="Times New Roman" w:hAnsi="Times New Roman"/>
          <w:kern w:val="0"/>
          <w:sz w:val="24"/>
          <w:szCs w:val="24"/>
          <w:lang w:eastAsia="pt-BR"/>
        </w:rPr>
      </w:pPr>
    </w:p>
    <w:p w14:paraId="4C3B5832" w14:textId="77777777" w:rsidR="009148D9" w:rsidRPr="00220682" w:rsidRDefault="009148D9" w:rsidP="009148D9">
      <w:pPr>
        <w:spacing w:before="100" w:beforeAutospacing="1" w:after="100" w:afterAutospacing="1"/>
        <w:jc w:val="both"/>
        <w:rPr>
          <w:rFonts w:ascii="Times New Roman" w:hAnsi="Times New Roman"/>
          <w:kern w:val="0"/>
          <w:sz w:val="24"/>
          <w:szCs w:val="24"/>
          <w:lang w:eastAsia="pt-BR"/>
        </w:rPr>
      </w:pPr>
    </w:p>
    <w:p w14:paraId="1BB341C5"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w:t>
      </w:r>
    </w:p>
    <w:p w14:paraId="46EEE09B"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kern w:val="0"/>
          <w:sz w:val="24"/>
          <w:szCs w:val="24"/>
          <w:lang w:eastAsia="pt-BR"/>
        </w:rPr>
        <w:t xml:space="preserve">(ESTUDO TÉCNICO PRELIMINAR ID </w:t>
      </w:r>
      <w:r w:rsidRPr="00220682">
        <w:rPr>
          <w:rFonts w:ascii="Times New Roman" w:hAnsi="Times New Roman"/>
          <w:color w:val="FF0000"/>
          <w:kern w:val="0"/>
          <w:sz w:val="24"/>
          <w:szCs w:val="24"/>
          <w:lang w:eastAsia="pt-BR"/>
        </w:rPr>
        <w:t>XXXXXXX)</w:t>
      </w:r>
    </w:p>
    <w:p w14:paraId="552B836F" w14:textId="77777777" w:rsidR="009148D9" w:rsidRPr="00220682" w:rsidRDefault="009148D9" w:rsidP="009148D9">
      <w:pPr>
        <w:spacing w:line="276" w:lineRule="auto"/>
        <w:jc w:val="center"/>
        <w:rPr>
          <w:rFonts w:ascii="Times New Roman" w:hAnsi="Times New Roman"/>
          <w:kern w:val="0"/>
          <w:sz w:val="24"/>
          <w:szCs w:val="24"/>
          <w:lang w:eastAsia="pt-BR"/>
        </w:rPr>
      </w:pPr>
    </w:p>
    <w:p w14:paraId="015E0D19"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II</w:t>
      </w:r>
    </w:p>
    <w:p w14:paraId="10292E69"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ESPECIFICAÇÃO DOS ITENS:</w:t>
      </w:r>
    </w:p>
    <w:p w14:paraId="16E619B6" w14:textId="77777777" w:rsidR="009148D9" w:rsidRPr="00220682" w:rsidRDefault="009148D9" w:rsidP="009148D9">
      <w:pPr>
        <w:spacing w:line="276" w:lineRule="auto"/>
        <w:jc w:val="center"/>
        <w:rPr>
          <w:rFonts w:ascii="Times New Roman" w:hAnsi="Times New Roman"/>
          <w:kern w:val="0"/>
          <w:sz w:val="24"/>
          <w:szCs w:val="24"/>
          <w:lang w:eastAsia="pt-BR"/>
        </w:rPr>
      </w:pPr>
    </w:p>
    <w:p w14:paraId="14751680"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ANEXO III</w:t>
      </w:r>
    </w:p>
    <w:p w14:paraId="6AECF13F"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color w:val="FF0000"/>
          <w:kern w:val="0"/>
          <w:sz w:val="24"/>
          <w:szCs w:val="24"/>
          <w:lang w:eastAsia="pt-BR"/>
        </w:rPr>
        <w:t>MATRIZ DE ALOCAÇÃO DE RISCOS</w:t>
      </w:r>
    </w:p>
    <w:tbl>
      <w:tblPr>
        <w:tblW w:w="9707"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47"/>
        <w:gridCol w:w="1574"/>
        <w:gridCol w:w="2235"/>
        <w:gridCol w:w="1361"/>
        <w:gridCol w:w="1962"/>
        <w:gridCol w:w="1628"/>
      </w:tblGrid>
      <w:tr w:rsidR="009148D9" w:rsidRPr="00220682" w14:paraId="01B34A21" w14:textId="77777777" w:rsidTr="001E0434">
        <w:trPr>
          <w:trHeight w:val="390"/>
          <w:tblHeade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EFDDAF"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Risco</w:t>
            </w:r>
          </w:p>
        </w:tc>
        <w:tc>
          <w:tcPr>
            <w:tcW w:w="0" w:type="auto"/>
            <w:tcBorders>
              <w:top w:val="outset" w:sz="6" w:space="0" w:color="auto"/>
              <w:left w:val="outset" w:sz="6" w:space="0" w:color="auto"/>
              <w:bottom w:val="outset" w:sz="6" w:space="0" w:color="auto"/>
              <w:right w:val="outset" w:sz="6" w:space="0" w:color="auto"/>
            </w:tcBorders>
            <w:vAlign w:val="center"/>
            <w:hideMark/>
          </w:tcPr>
          <w:p w14:paraId="73185212"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Descrição</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17208"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Probabilidade</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04930"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Impacto</w:t>
            </w:r>
          </w:p>
        </w:tc>
        <w:tc>
          <w:tcPr>
            <w:tcW w:w="0" w:type="auto"/>
            <w:tcBorders>
              <w:top w:val="outset" w:sz="6" w:space="0" w:color="auto"/>
              <w:left w:val="outset" w:sz="6" w:space="0" w:color="auto"/>
              <w:bottom w:val="outset" w:sz="6" w:space="0" w:color="auto"/>
              <w:right w:val="outset" w:sz="6" w:space="0" w:color="auto"/>
            </w:tcBorders>
            <w:vAlign w:val="center"/>
            <w:hideMark/>
          </w:tcPr>
          <w:p w14:paraId="7A149DAF"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Responsável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3F24E52" w14:textId="77777777" w:rsidR="009148D9" w:rsidRPr="00220682" w:rsidRDefault="009148D9" w:rsidP="001E0434">
            <w:pPr>
              <w:spacing w:line="276" w:lineRule="auto"/>
              <w:jc w:val="center"/>
              <w:rPr>
                <w:rFonts w:ascii="Times New Roman" w:hAnsi="Times New Roman"/>
                <w:b/>
                <w:bCs/>
                <w:kern w:val="0"/>
                <w:sz w:val="24"/>
                <w:szCs w:val="24"/>
                <w:lang w:eastAsia="pt-BR"/>
              </w:rPr>
            </w:pPr>
            <w:r w:rsidRPr="00220682">
              <w:rPr>
                <w:rFonts w:ascii="Times New Roman" w:hAnsi="Times New Roman"/>
                <w:b/>
                <w:bCs/>
                <w:color w:val="FF0000"/>
                <w:kern w:val="0"/>
                <w:sz w:val="24"/>
                <w:szCs w:val="24"/>
                <w:lang w:eastAsia="pt-BR"/>
              </w:rPr>
              <w:t>Mitigação</w:t>
            </w:r>
          </w:p>
        </w:tc>
      </w:tr>
    </w:tbl>
    <w:p w14:paraId="562F7927" w14:textId="77777777" w:rsidR="009148D9" w:rsidRPr="0029041A" w:rsidRDefault="009148D9" w:rsidP="00DC07C2">
      <w:pPr>
        <w:pStyle w:val="PargrafodaLista"/>
        <w:numPr>
          <w:ilvl w:val="1"/>
          <w:numId w:val="6"/>
        </w:numPr>
        <w:spacing w:line="276" w:lineRule="auto"/>
        <w:jc w:val="both"/>
        <w:rPr>
          <w:rFonts w:ascii="Times New Roman" w:hAnsi="Times New Roman"/>
          <w:kern w:val="0"/>
          <w:sz w:val="24"/>
          <w:szCs w:val="24"/>
          <w:lang w:eastAsia="pt-BR"/>
        </w:rPr>
      </w:pPr>
      <w:r w:rsidRPr="0029041A">
        <w:rPr>
          <w:rFonts w:ascii="Times New Roman" w:hAnsi="Times New Roman"/>
          <w:b/>
          <w:bCs/>
          <w:kern w:val="0"/>
          <w:sz w:val="24"/>
          <w:szCs w:val="24"/>
          <w:lang w:eastAsia="pt-BR"/>
        </w:rPr>
        <w:t>ELEMENTOS DA MATRIZ:</w:t>
      </w:r>
    </w:p>
    <w:p w14:paraId="7647AA9A"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Risco</w:t>
      </w:r>
      <w:r w:rsidRPr="00220682">
        <w:rPr>
          <w:rFonts w:ascii="Times New Roman" w:hAnsi="Times New Roman"/>
          <w:kern w:val="0"/>
          <w:sz w:val="24"/>
          <w:szCs w:val="24"/>
          <w:lang w:eastAsia="pt-BR"/>
        </w:rPr>
        <w:t>: Identificação de possíveis eventos adversos que possam ocorrer durante o processo de contratação ou execução do contrato.</w:t>
      </w:r>
    </w:p>
    <w:p w14:paraId="3668DA32"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Descrição</w:t>
      </w:r>
      <w:r w:rsidRPr="00220682">
        <w:rPr>
          <w:rFonts w:ascii="Times New Roman" w:hAnsi="Times New Roman"/>
          <w:kern w:val="0"/>
          <w:sz w:val="24"/>
          <w:szCs w:val="24"/>
          <w:lang w:eastAsia="pt-BR"/>
        </w:rPr>
        <w:t>: Explicação detalhada do risco e suas possíveis consequências.</w:t>
      </w:r>
    </w:p>
    <w:p w14:paraId="6F877A91"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Probabilidade</w:t>
      </w:r>
      <w:r w:rsidRPr="00220682">
        <w:rPr>
          <w:rFonts w:ascii="Times New Roman" w:hAnsi="Times New Roman"/>
          <w:kern w:val="0"/>
          <w:sz w:val="24"/>
          <w:szCs w:val="24"/>
          <w:lang w:eastAsia="pt-BR"/>
        </w:rPr>
        <w:t>: Classificação da probabilidade de o risco ocorrer (Baixa, média ou Alta).</w:t>
      </w:r>
    </w:p>
    <w:p w14:paraId="3B75F4AD"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Impacto</w:t>
      </w:r>
      <w:r w:rsidRPr="00220682">
        <w:rPr>
          <w:rFonts w:ascii="Times New Roman" w:hAnsi="Times New Roman"/>
          <w:kern w:val="0"/>
          <w:sz w:val="24"/>
          <w:szCs w:val="24"/>
          <w:lang w:eastAsia="pt-BR"/>
        </w:rPr>
        <w:t>: Avaliação do impacto que o risco causaria caso ocorra (Baixo, Médio ou Alto).</w:t>
      </w:r>
    </w:p>
    <w:p w14:paraId="37386F2F"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lastRenderedPageBreak/>
        <w:t>Responsável</w:t>
      </w:r>
      <w:r w:rsidRPr="00220682">
        <w:rPr>
          <w:rFonts w:ascii="Times New Roman" w:hAnsi="Times New Roman"/>
          <w:kern w:val="0"/>
          <w:sz w:val="24"/>
          <w:szCs w:val="24"/>
          <w:lang w:eastAsia="pt-BR"/>
        </w:rPr>
        <w:t>: Parte responsável pela gestão e mitigação do risco (Administração Pública, Fornecedor ou ambos).</w:t>
      </w:r>
    </w:p>
    <w:p w14:paraId="0B0E2BDA" w14:textId="77777777" w:rsidR="009148D9" w:rsidRPr="00220682" w:rsidRDefault="009148D9" w:rsidP="00DC07C2">
      <w:pPr>
        <w:numPr>
          <w:ilvl w:val="0"/>
          <w:numId w:val="8"/>
        </w:numPr>
        <w:spacing w:line="276" w:lineRule="auto"/>
        <w:jc w:val="both"/>
        <w:rPr>
          <w:rFonts w:ascii="Times New Roman" w:hAnsi="Times New Roman"/>
          <w:kern w:val="0"/>
          <w:sz w:val="24"/>
          <w:szCs w:val="24"/>
          <w:lang w:eastAsia="pt-BR"/>
        </w:rPr>
      </w:pPr>
      <w:r w:rsidRPr="00220682">
        <w:rPr>
          <w:rFonts w:ascii="Times New Roman" w:hAnsi="Times New Roman"/>
          <w:b/>
          <w:bCs/>
          <w:kern w:val="0"/>
          <w:sz w:val="24"/>
          <w:szCs w:val="24"/>
          <w:lang w:eastAsia="pt-BR"/>
        </w:rPr>
        <w:t>Mitigação</w:t>
      </w:r>
      <w:r w:rsidRPr="00220682">
        <w:rPr>
          <w:rFonts w:ascii="Times New Roman" w:hAnsi="Times New Roman"/>
          <w:kern w:val="0"/>
          <w:sz w:val="24"/>
          <w:szCs w:val="24"/>
          <w:lang w:eastAsia="pt-BR"/>
        </w:rPr>
        <w:t>: Estratégias que podem ser adotadas para minimizar ou evitar o risco, assegurando que ele tenha o menor impacto possível sobre o contrato.</w:t>
      </w:r>
    </w:p>
    <w:p w14:paraId="39B51280" w14:textId="77777777" w:rsidR="009148D9" w:rsidRPr="00220682" w:rsidRDefault="009148D9" w:rsidP="009148D9">
      <w:pPr>
        <w:spacing w:line="276" w:lineRule="auto"/>
        <w:jc w:val="both"/>
        <w:outlineLvl w:val="2"/>
        <w:rPr>
          <w:rFonts w:ascii="Times New Roman" w:hAnsi="Times New Roman"/>
          <w:b/>
          <w:bCs/>
          <w:kern w:val="0"/>
          <w:sz w:val="24"/>
          <w:szCs w:val="24"/>
          <w:lang w:eastAsia="pt-BR"/>
        </w:rPr>
      </w:pPr>
    </w:p>
    <w:p w14:paraId="72939D33"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(Documento assinado e datado eletronicamente)</w:t>
      </w:r>
    </w:p>
    <w:p w14:paraId="2402B287" w14:textId="77777777" w:rsidR="009148D9" w:rsidRPr="00220682" w:rsidRDefault="009148D9" w:rsidP="009148D9">
      <w:pPr>
        <w:spacing w:line="276" w:lineRule="auto"/>
        <w:jc w:val="center"/>
        <w:rPr>
          <w:rFonts w:ascii="Times New Roman" w:hAnsi="Times New Roman"/>
          <w:kern w:val="0"/>
          <w:sz w:val="24"/>
          <w:szCs w:val="24"/>
          <w:lang w:eastAsia="pt-BR"/>
        </w:rPr>
      </w:pPr>
    </w:p>
    <w:p w14:paraId="1687A868"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APROVO</w:t>
      </w:r>
    </w:p>
    <w:p w14:paraId="6D545C92" w14:textId="77777777" w:rsidR="009148D9" w:rsidRPr="00220682" w:rsidRDefault="009148D9" w:rsidP="009148D9">
      <w:pPr>
        <w:spacing w:line="276" w:lineRule="auto"/>
        <w:jc w:val="both"/>
        <w:rPr>
          <w:rFonts w:ascii="Times New Roman" w:hAnsi="Times New Roman"/>
          <w:kern w:val="0"/>
          <w:sz w:val="24"/>
          <w:szCs w:val="24"/>
          <w:lang w:eastAsia="pt-BR"/>
        </w:rPr>
      </w:pPr>
      <w:r w:rsidRPr="00220682">
        <w:rPr>
          <w:rFonts w:ascii="Times New Roman" w:hAnsi="Times New Roman"/>
          <w:kern w:val="0"/>
          <w:sz w:val="24"/>
          <w:szCs w:val="24"/>
          <w:lang w:eastAsia="pt-BR"/>
        </w:rPr>
        <w:t>Aprovo a presente Termo de Referência que tem por objeto a futura e eventual contratação para</w:t>
      </w:r>
      <w:r w:rsidRPr="00220682">
        <w:rPr>
          <w:rFonts w:ascii="Times New Roman" w:hAnsi="Times New Roman"/>
          <w:color w:val="FF0000"/>
          <w:kern w:val="0"/>
          <w:sz w:val="24"/>
          <w:szCs w:val="24"/>
          <w:lang w:eastAsia="pt-BR"/>
        </w:rPr>
        <w:t> </w:t>
      </w:r>
      <w:r w:rsidRPr="00220682">
        <w:rPr>
          <w:rFonts w:ascii="Times New Roman" w:hAnsi="Times New Roman"/>
          <w:b/>
          <w:bCs/>
          <w:color w:val="FF0000"/>
          <w:kern w:val="0"/>
          <w:sz w:val="24"/>
          <w:szCs w:val="24"/>
          <w:lang w:eastAsia="pt-BR"/>
        </w:rPr>
        <w:t xml:space="preserve">[indicar o </w:t>
      </w:r>
      <w:r>
        <w:rPr>
          <w:rFonts w:ascii="Times New Roman" w:hAnsi="Times New Roman"/>
          <w:b/>
          <w:bCs/>
          <w:color w:val="FF0000"/>
          <w:kern w:val="0"/>
          <w:sz w:val="24"/>
          <w:szCs w:val="24"/>
          <w:lang w:eastAsia="pt-BR"/>
        </w:rPr>
        <w:t xml:space="preserve">objeto </w:t>
      </w:r>
      <w:r w:rsidRPr="00220682">
        <w:rPr>
          <w:rFonts w:ascii="Times New Roman" w:hAnsi="Times New Roman"/>
          <w:b/>
          <w:bCs/>
          <w:color w:val="FF0000"/>
          <w:kern w:val="0"/>
          <w:sz w:val="24"/>
          <w:szCs w:val="24"/>
          <w:lang w:eastAsia="pt-BR"/>
        </w:rPr>
        <w:t>a ser contratado]​,</w:t>
      </w:r>
      <w:r w:rsidRPr="00220682">
        <w:rPr>
          <w:rFonts w:ascii="Times New Roman" w:hAnsi="Times New Roman"/>
          <w:color w:val="FF0000"/>
          <w:kern w:val="0"/>
          <w:sz w:val="24"/>
          <w:szCs w:val="24"/>
          <w:lang w:eastAsia="pt-BR"/>
        </w:rPr>
        <w:t xml:space="preserve"> </w:t>
      </w:r>
      <w:r w:rsidRPr="00220682">
        <w:rPr>
          <w:rFonts w:ascii="Times New Roman" w:hAnsi="Times New Roman"/>
          <w:kern w:val="0"/>
          <w:sz w:val="24"/>
          <w:szCs w:val="24"/>
          <w:lang w:eastAsia="pt-BR"/>
        </w:rPr>
        <w:t>a fim de atender demandas dos Órgão e Entes que compõem a Administração Pública Estadual​, nos termos do art. 100. do Decreto Estadual nº 22.546, de 16 de novembro de 2023.</w:t>
      </w:r>
    </w:p>
    <w:p w14:paraId="58702F1E" w14:textId="77777777" w:rsidR="009148D9" w:rsidRPr="00220682" w:rsidRDefault="009148D9" w:rsidP="009148D9">
      <w:pPr>
        <w:spacing w:line="276" w:lineRule="auto"/>
        <w:jc w:val="both"/>
        <w:rPr>
          <w:rFonts w:ascii="Times New Roman" w:hAnsi="Times New Roman"/>
          <w:kern w:val="0"/>
          <w:sz w:val="24"/>
          <w:szCs w:val="24"/>
          <w:lang w:eastAsia="pt-BR"/>
        </w:rPr>
      </w:pPr>
    </w:p>
    <w:p w14:paraId="62CC8942" w14:textId="77777777" w:rsidR="009148D9" w:rsidRPr="00220682" w:rsidRDefault="009148D9" w:rsidP="009148D9">
      <w:pPr>
        <w:spacing w:line="276" w:lineRule="auto"/>
        <w:jc w:val="both"/>
        <w:rPr>
          <w:rFonts w:ascii="Times New Roman" w:hAnsi="Times New Roman"/>
          <w:kern w:val="0"/>
          <w:sz w:val="24"/>
          <w:szCs w:val="24"/>
          <w:lang w:eastAsia="pt-BR"/>
        </w:rPr>
      </w:pPr>
    </w:p>
    <w:p w14:paraId="5BBA9060" w14:textId="77777777" w:rsidR="009148D9" w:rsidRPr="00220682" w:rsidRDefault="009148D9" w:rsidP="009148D9">
      <w:pPr>
        <w:spacing w:line="276" w:lineRule="auto"/>
        <w:jc w:val="center"/>
        <w:rPr>
          <w:rFonts w:ascii="Times New Roman" w:hAnsi="Times New Roman"/>
          <w:kern w:val="0"/>
          <w:sz w:val="24"/>
          <w:szCs w:val="24"/>
          <w:lang w:eastAsia="pt-BR"/>
        </w:rPr>
      </w:pPr>
      <w:r w:rsidRPr="00220682">
        <w:rPr>
          <w:rFonts w:ascii="Times New Roman" w:hAnsi="Times New Roman"/>
          <w:b/>
          <w:bCs/>
          <w:kern w:val="0"/>
          <w:sz w:val="24"/>
          <w:szCs w:val="24"/>
          <w:lang w:eastAsia="pt-BR"/>
        </w:rPr>
        <w:t>(Documento datado e assinado eletronicamente)</w:t>
      </w:r>
    </w:p>
    <w:p w14:paraId="1F41A631" w14:textId="77777777" w:rsidR="009148D9" w:rsidRPr="00220682" w:rsidRDefault="009148D9" w:rsidP="009148D9">
      <w:pPr>
        <w:spacing w:line="276" w:lineRule="auto"/>
        <w:jc w:val="center"/>
        <w:rPr>
          <w:rFonts w:ascii="Times New Roman" w:hAnsi="Times New Roman"/>
          <w:kern w:val="0"/>
          <w:sz w:val="24"/>
          <w:szCs w:val="24"/>
          <w:lang w:eastAsia="pt-BR"/>
        </w:rPr>
      </w:pPr>
    </w:p>
    <w:p w14:paraId="34916E2F" w14:textId="77777777" w:rsidR="009148D9" w:rsidRDefault="009148D9" w:rsidP="009148D9">
      <w:pPr>
        <w:spacing w:line="276" w:lineRule="auto"/>
        <w:jc w:val="center"/>
        <w:rPr>
          <w:rFonts w:ascii="Times New Roman" w:hAnsi="Times New Roman"/>
          <w:b/>
          <w:bCs/>
          <w:color w:val="FF0000"/>
          <w:kern w:val="0"/>
          <w:sz w:val="24"/>
          <w:szCs w:val="24"/>
          <w:lang w:eastAsia="pt-BR"/>
        </w:rPr>
      </w:pPr>
      <w:r w:rsidRPr="00442E94">
        <w:rPr>
          <w:rFonts w:ascii="Times New Roman" w:hAnsi="Times New Roman"/>
          <w:b/>
          <w:bCs/>
          <w:color w:val="FF0000"/>
          <w:kern w:val="0"/>
          <w:sz w:val="24"/>
          <w:szCs w:val="24"/>
          <w:lang w:eastAsia="pt-BR"/>
        </w:rPr>
        <w:t>XXXXXXXXXXXXXXXXXXXX</w:t>
      </w:r>
    </w:p>
    <w:p w14:paraId="4A3CC662" w14:textId="77777777" w:rsidR="009148D9" w:rsidRDefault="009148D9" w:rsidP="009148D9">
      <w:pPr>
        <w:spacing w:line="276" w:lineRule="auto"/>
        <w:jc w:val="center"/>
        <w:rPr>
          <w:rFonts w:ascii="Times New Roman" w:hAnsi="Times New Roman"/>
          <w:b/>
          <w:bCs/>
          <w:color w:val="FF0000"/>
          <w:kern w:val="0"/>
          <w:sz w:val="24"/>
          <w:szCs w:val="24"/>
          <w:lang w:eastAsia="pt-BR"/>
        </w:rPr>
      </w:pPr>
    </w:p>
    <w:p w14:paraId="1893781E" w14:textId="77777777" w:rsidR="009148D9" w:rsidRDefault="009148D9" w:rsidP="009148D9">
      <w:pPr>
        <w:spacing w:line="276" w:lineRule="auto"/>
        <w:jc w:val="center"/>
        <w:rPr>
          <w:rFonts w:ascii="Times New Roman" w:hAnsi="Times New Roman"/>
          <w:b/>
          <w:bCs/>
          <w:color w:val="FF0000"/>
          <w:kern w:val="0"/>
          <w:sz w:val="24"/>
          <w:szCs w:val="24"/>
          <w:lang w:eastAsia="pt-BR"/>
        </w:rPr>
      </w:pPr>
    </w:p>
    <w:p w14:paraId="6C73DA8E" w14:textId="77777777" w:rsidR="009148D9" w:rsidRPr="00442E94" w:rsidRDefault="009148D9" w:rsidP="009148D9">
      <w:pPr>
        <w:spacing w:before="100" w:beforeAutospacing="1" w:after="100" w:afterAutospacing="1"/>
        <w:jc w:val="both"/>
        <w:rPr>
          <w:rFonts w:ascii="Times New Roman" w:hAnsi="Times New Roman"/>
          <w:kern w:val="0"/>
          <w:sz w:val="24"/>
          <w:szCs w:val="24"/>
          <w:lang w:eastAsia="pt-BR"/>
        </w:rPr>
      </w:pPr>
      <w:bookmarkStart w:id="20" w:name="_Hlk188618501"/>
      <w:r w:rsidRPr="00442E94">
        <w:rPr>
          <w:rFonts w:ascii="Times New Roman" w:hAnsi="Times New Roman"/>
          <w:b/>
          <w:bCs/>
          <w:kern w:val="0"/>
          <w:sz w:val="24"/>
          <w:szCs w:val="24"/>
          <w:lang w:eastAsia="pt-BR"/>
        </w:rPr>
        <w:t>REFERÊNCIAS</w:t>
      </w:r>
    </w:p>
    <w:p w14:paraId="33947A9D" w14:textId="77777777" w:rsidR="009148D9"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 xml:space="preserve">Decreto Estadual nº 21.872, de 07 de março de 2023. </w:t>
      </w:r>
    </w:p>
    <w:p w14:paraId="6230AAC8"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Pr>
          <w:rFonts w:ascii="Times New Roman" w:hAnsi="Times New Roman"/>
          <w:kern w:val="0"/>
          <w:sz w:val="24"/>
          <w:szCs w:val="24"/>
          <w:lang w:eastAsia="pt-BR"/>
        </w:rPr>
        <w:t>Decreto Estadual 21.938/2023 – Regulamenta o Procedimento Auxiliar do Sistema de Registro de Preços, para a contratação de bens e serviços, inclusive de obras e serviços de engenharia, no âmbito do Poder Executivo Estadual.</w:t>
      </w:r>
    </w:p>
    <w:p w14:paraId="00149B05"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Lei nº 14.133, de 1º de abril de 2021. Dispõe sobre normas para licitações e contratos da administração pública. 2 abr. 2021.</w:t>
      </w:r>
    </w:p>
    <w:p w14:paraId="318BB28F"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 xml:space="preserve">Instrução Normativa SEGES nº </w:t>
      </w:r>
      <w:r>
        <w:rPr>
          <w:rFonts w:ascii="Times New Roman" w:hAnsi="Times New Roman"/>
          <w:kern w:val="0"/>
          <w:sz w:val="24"/>
          <w:szCs w:val="24"/>
          <w:lang w:eastAsia="pt-BR"/>
        </w:rPr>
        <w:t>81</w:t>
      </w:r>
      <w:r w:rsidRPr="00442E94">
        <w:rPr>
          <w:rFonts w:ascii="Times New Roman" w:hAnsi="Times New Roman"/>
          <w:kern w:val="0"/>
          <w:sz w:val="24"/>
          <w:szCs w:val="24"/>
          <w:lang w:eastAsia="pt-BR"/>
        </w:rPr>
        <w:t xml:space="preserve">, de </w:t>
      </w:r>
      <w:r>
        <w:rPr>
          <w:rFonts w:ascii="Times New Roman" w:hAnsi="Times New Roman"/>
          <w:kern w:val="0"/>
          <w:sz w:val="24"/>
          <w:szCs w:val="24"/>
          <w:lang w:eastAsia="pt-BR"/>
        </w:rPr>
        <w:t>25</w:t>
      </w:r>
      <w:r w:rsidRPr="00442E94">
        <w:rPr>
          <w:rFonts w:ascii="Times New Roman" w:hAnsi="Times New Roman"/>
          <w:kern w:val="0"/>
          <w:sz w:val="24"/>
          <w:szCs w:val="24"/>
          <w:lang w:eastAsia="pt-BR"/>
        </w:rPr>
        <w:t xml:space="preserve"> de </w:t>
      </w:r>
      <w:r>
        <w:rPr>
          <w:rFonts w:ascii="Times New Roman" w:hAnsi="Times New Roman"/>
          <w:kern w:val="0"/>
          <w:sz w:val="24"/>
          <w:szCs w:val="24"/>
          <w:lang w:eastAsia="pt-BR"/>
        </w:rPr>
        <w:t>novembro</w:t>
      </w:r>
      <w:r w:rsidRPr="00442E94">
        <w:rPr>
          <w:rFonts w:ascii="Times New Roman" w:hAnsi="Times New Roman"/>
          <w:kern w:val="0"/>
          <w:sz w:val="24"/>
          <w:szCs w:val="24"/>
          <w:lang w:eastAsia="pt-BR"/>
        </w:rPr>
        <w:t xml:space="preserve"> de 2022.</w:t>
      </w:r>
    </w:p>
    <w:p w14:paraId="574DE414"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Advocacia-Geral da União. Instrumento de Padronização AGU.</w:t>
      </w:r>
    </w:p>
    <w:p w14:paraId="6233A95B"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Tribunal de Contas da União. Manual TCU. </w:t>
      </w:r>
    </w:p>
    <w:p w14:paraId="72F4FCF2"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Instrumento de Padronização de Procedimentos de Contratação </w:t>
      </w:r>
    </w:p>
    <w:p w14:paraId="3B98B78A" w14:textId="77777777" w:rsidR="009148D9" w:rsidRPr="00442E94" w:rsidRDefault="009148D9" w:rsidP="00DC07C2">
      <w:pPr>
        <w:numPr>
          <w:ilvl w:val="0"/>
          <w:numId w:val="11"/>
        </w:numPr>
        <w:spacing w:before="100" w:beforeAutospacing="1" w:after="100" w:afterAutospacing="1" w:line="360" w:lineRule="auto"/>
        <w:jc w:val="both"/>
        <w:rPr>
          <w:rFonts w:ascii="Times New Roman" w:hAnsi="Times New Roman"/>
          <w:kern w:val="0"/>
          <w:sz w:val="24"/>
          <w:szCs w:val="24"/>
          <w:lang w:eastAsia="pt-BR"/>
        </w:rPr>
      </w:pPr>
      <w:r w:rsidRPr="00442E94">
        <w:rPr>
          <w:rFonts w:ascii="Times New Roman" w:hAnsi="Times New Roman"/>
          <w:kern w:val="0"/>
          <w:sz w:val="24"/>
          <w:szCs w:val="24"/>
          <w:lang w:eastAsia="pt-BR"/>
        </w:rPr>
        <w:t>Brasil. Advocacia-Geral da União. Ministério da Gestão e Inovação em Serviços Públicos. Instrumento de padronização dos procedimentos de contratação – Brasília: Advocacia-Geral da União: Ministério da Gestão e Inovação em Serviços Públicos, 2023. Disponível em: </w:t>
      </w:r>
      <w:hyperlink r:id="rId46" w:tgtFrame="_blank" w:history="1">
        <w:r w:rsidRPr="00442E94">
          <w:rPr>
            <w:rFonts w:ascii="Times New Roman" w:hAnsi="Times New Roman"/>
            <w:color w:val="0000FF"/>
            <w:kern w:val="0"/>
            <w:sz w:val="24"/>
            <w:szCs w:val="24"/>
            <w:u w:val="single"/>
            <w:lang w:eastAsia="pt-BR"/>
          </w:rPr>
          <w:t>https://www.gov.br/agu/pt-br/composicao/cgu/cgu/guias/instrumento-de-padronizacao-dos-procedimentos-de-contratacao.pdf</w:t>
        </w:r>
      </w:hyperlink>
      <w:r w:rsidRPr="00442E94">
        <w:rPr>
          <w:rFonts w:ascii="Times New Roman" w:hAnsi="Times New Roman"/>
          <w:kern w:val="0"/>
          <w:sz w:val="24"/>
          <w:szCs w:val="24"/>
          <w:lang w:eastAsia="pt-BR"/>
        </w:rPr>
        <w:t>. </w:t>
      </w:r>
    </w:p>
    <w:tbl>
      <w:tblPr>
        <w:tblStyle w:val="Tabelacomgrade"/>
        <w:tblW w:w="0" w:type="auto"/>
        <w:tblLook w:val="04A0" w:firstRow="1" w:lastRow="0" w:firstColumn="1" w:lastColumn="0" w:noHBand="0" w:noVBand="1"/>
      </w:tblPr>
      <w:tblGrid>
        <w:gridCol w:w="8494"/>
      </w:tblGrid>
      <w:tr w:rsidR="009148D9" w:rsidRPr="00442E94" w14:paraId="7A02BC56" w14:textId="77777777" w:rsidTr="001E0434">
        <w:tc>
          <w:tcPr>
            <w:tcW w:w="8494" w:type="dxa"/>
          </w:tcPr>
          <w:p w14:paraId="6CC60B10" w14:textId="77777777" w:rsidR="009148D9" w:rsidRDefault="009148D9" w:rsidP="001E0434">
            <w:pPr>
              <w:rPr>
                <w:rFonts w:ascii="Times New Roman" w:hAnsi="Times New Roman"/>
                <w:b/>
                <w:bCs/>
                <w:sz w:val="24"/>
                <w:szCs w:val="24"/>
              </w:rPr>
            </w:pPr>
            <w:r w:rsidRPr="00442E94">
              <w:rPr>
                <w:rFonts w:ascii="Times New Roman" w:hAnsi="Times New Roman"/>
                <w:b/>
                <w:bCs/>
                <w:sz w:val="24"/>
                <w:szCs w:val="24"/>
              </w:rPr>
              <w:lastRenderedPageBreak/>
              <w:t>Desenvolvedores:</w:t>
            </w:r>
          </w:p>
          <w:p w14:paraId="04A34E2A" w14:textId="77777777" w:rsidR="009148D9" w:rsidRPr="00442E94" w:rsidRDefault="009148D9" w:rsidP="001E0434">
            <w:pPr>
              <w:rPr>
                <w:rFonts w:ascii="Times New Roman" w:hAnsi="Times New Roman"/>
                <w:sz w:val="24"/>
                <w:szCs w:val="24"/>
              </w:rPr>
            </w:pPr>
            <w:r w:rsidRPr="00442E94">
              <w:rPr>
                <w:rFonts w:ascii="Times New Roman" w:hAnsi="Times New Roman"/>
                <w:sz w:val="24"/>
                <w:szCs w:val="24"/>
              </w:rPr>
              <w:t>Luana Ravenna Araújo Campelo</w:t>
            </w:r>
          </w:p>
          <w:p w14:paraId="07FA63B9" w14:textId="77777777" w:rsidR="009148D9" w:rsidRPr="00442E94" w:rsidRDefault="009148D9" w:rsidP="001E0434">
            <w:pPr>
              <w:rPr>
                <w:rFonts w:ascii="Times New Roman" w:hAnsi="Times New Roman"/>
                <w:b/>
                <w:bCs/>
                <w:sz w:val="24"/>
                <w:szCs w:val="24"/>
              </w:rPr>
            </w:pPr>
            <w:r w:rsidRPr="00442E94">
              <w:rPr>
                <w:rFonts w:ascii="Times New Roman" w:hAnsi="Times New Roman"/>
                <w:sz w:val="24"/>
                <w:szCs w:val="24"/>
              </w:rPr>
              <w:t>Luciana Spindola Monteiro Toussaint</w:t>
            </w:r>
          </w:p>
          <w:p w14:paraId="2BD0681B" w14:textId="77777777" w:rsidR="009148D9" w:rsidRPr="00442E94" w:rsidRDefault="009148D9" w:rsidP="001E0434">
            <w:pPr>
              <w:rPr>
                <w:rFonts w:ascii="Times New Roman" w:hAnsi="Times New Roman"/>
                <w:b/>
                <w:bCs/>
                <w:sz w:val="24"/>
                <w:szCs w:val="24"/>
              </w:rPr>
            </w:pPr>
          </w:p>
          <w:p w14:paraId="75369A9D" w14:textId="77777777" w:rsidR="009148D9" w:rsidRPr="00442E94" w:rsidRDefault="009148D9" w:rsidP="001E0434">
            <w:pPr>
              <w:rPr>
                <w:rFonts w:ascii="Times New Roman" w:hAnsi="Times New Roman"/>
                <w:b/>
                <w:bCs/>
                <w:sz w:val="24"/>
                <w:szCs w:val="24"/>
              </w:rPr>
            </w:pPr>
            <w:r w:rsidRPr="00442E94">
              <w:rPr>
                <w:rFonts w:ascii="Times New Roman" w:hAnsi="Times New Roman"/>
                <w:b/>
                <w:bCs/>
                <w:sz w:val="24"/>
                <w:szCs w:val="24"/>
              </w:rPr>
              <w:t>Revisores:</w:t>
            </w:r>
          </w:p>
          <w:p w14:paraId="4AD66BD3" w14:textId="77777777" w:rsidR="009148D9" w:rsidRPr="00442E94" w:rsidRDefault="009148D9" w:rsidP="001E0434">
            <w:pPr>
              <w:rPr>
                <w:rFonts w:ascii="Times New Roman" w:hAnsi="Times New Roman"/>
                <w:sz w:val="24"/>
                <w:szCs w:val="24"/>
              </w:rPr>
            </w:pPr>
            <w:r w:rsidRPr="00442E94">
              <w:rPr>
                <w:rFonts w:ascii="Times New Roman" w:hAnsi="Times New Roman"/>
                <w:sz w:val="24"/>
                <w:szCs w:val="24"/>
              </w:rPr>
              <w:t>Jéssica Kelly de Sousa Carvalho</w:t>
            </w:r>
          </w:p>
          <w:p w14:paraId="1EF361FC" w14:textId="77777777" w:rsidR="009148D9" w:rsidRPr="00442E94" w:rsidRDefault="009148D9" w:rsidP="001E0434">
            <w:pPr>
              <w:rPr>
                <w:rFonts w:ascii="Times New Roman" w:hAnsi="Times New Roman"/>
                <w:sz w:val="24"/>
                <w:szCs w:val="24"/>
              </w:rPr>
            </w:pPr>
            <w:proofErr w:type="spellStart"/>
            <w:r w:rsidRPr="00442E94">
              <w:rPr>
                <w:rFonts w:ascii="Times New Roman" w:hAnsi="Times New Roman"/>
                <w:sz w:val="24"/>
                <w:szCs w:val="24"/>
              </w:rPr>
              <w:t>Jakeline</w:t>
            </w:r>
            <w:proofErr w:type="spellEnd"/>
            <w:r w:rsidRPr="00442E94">
              <w:rPr>
                <w:rFonts w:ascii="Times New Roman" w:hAnsi="Times New Roman"/>
                <w:sz w:val="24"/>
                <w:szCs w:val="24"/>
              </w:rPr>
              <w:t xml:space="preserve"> Maria de Carvalho Santana </w:t>
            </w:r>
          </w:p>
        </w:tc>
      </w:tr>
      <w:bookmarkEnd w:id="20"/>
    </w:tbl>
    <w:p w14:paraId="56002D7F" w14:textId="77777777" w:rsidR="009148D9" w:rsidRPr="00442E94" w:rsidRDefault="009148D9" w:rsidP="009148D9">
      <w:pPr>
        <w:spacing w:line="276" w:lineRule="auto"/>
        <w:jc w:val="center"/>
        <w:rPr>
          <w:rFonts w:ascii="Times New Roman" w:hAnsi="Times New Roman"/>
          <w:color w:val="FF0000"/>
          <w:kern w:val="0"/>
          <w:sz w:val="24"/>
          <w:szCs w:val="24"/>
          <w:lang w:eastAsia="pt-BR"/>
        </w:rPr>
      </w:pPr>
    </w:p>
    <w:p w14:paraId="3054A87D" w14:textId="18FBFE69" w:rsidR="00EB5520" w:rsidRPr="000601EF" w:rsidRDefault="00EB5520" w:rsidP="000601EF"/>
    <w:sectPr w:rsidR="00EB5520" w:rsidRPr="000601EF" w:rsidSect="003B1856">
      <w:headerReference w:type="default" r:id="rId47"/>
      <w:footerReference w:type="even" r:id="rId48"/>
      <w:footerReference w:type="default" r:id="rId49"/>
      <w:pgSz w:w="11906" w:h="16838"/>
      <w:pgMar w:top="172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74B3" w14:textId="77777777" w:rsidR="0099562C" w:rsidRDefault="0099562C" w:rsidP="005146DF">
      <w:r>
        <w:separator/>
      </w:r>
    </w:p>
  </w:endnote>
  <w:endnote w:type="continuationSeparator" w:id="0">
    <w:p w14:paraId="624C3FC8" w14:textId="77777777" w:rsidR="0099562C" w:rsidRDefault="0099562C" w:rsidP="0051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79775250"/>
      <w:docPartObj>
        <w:docPartGallery w:val="Page Numbers (Bottom of Page)"/>
        <w:docPartUnique/>
      </w:docPartObj>
    </w:sdtPr>
    <w:sdtEndPr>
      <w:rPr>
        <w:rStyle w:val="Nmerodepgina"/>
      </w:rPr>
    </w:sdtEndPr>
    <w:sdtContent>
      <w:p w14:paraId="025D7FA7" w14:textId="34FBE134" w:rsidR="005146DF" w:rsidRDefault="005146DF" w:rsidP="00D048BF">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856BB56" w14:textId="77777777" w:rsidR="005146DF" w:rsidRDefault="005146DF" w:rsidP="005146D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color w:val="808080" w:themeColor="background1" w:themeShade="80"/>
        <w:sz w:val="18"/>
        <w:szCs w:val="18"/>
      </w:rPr>
      <w:id w:val="43190103"/>
      <w:docPartObj>
        <w:docPartGallery w:val="Page Numbers (Bottom of Page)"/>
        <w:docPartUnique/>
      </w:docPartObj>
    </w:sdtPr>
    <w:sdtEndPr>
      <w:rPr>
        <w:rStyle w:val="Nmerodepgina"/>
      </w:rPr>
    </w:sdtEndPr>
    <w:sdtContent>
      <w:p w14:paraId="6ECC7D02" w14:textId="743953A8" w:rsidR="005146DF" w:rsidRPr="005146DF" w:rsidRDefault="005146DF" w:rsidP="005146DF">
        <w:pPr>
          <w:pStyle w:val="Rodap"/>
          <w:framePr w:w="730" w:wrap="none" w:vAnchor="text" w:hAnchor="page" w:x="10295" w:y="-803"/>
          <w:rPr>
            <w:rStyle w:val="Nmerodepgina"/>
            <w:color w:val="808080" w:themeColor="background1" w:themeShade="80"/>
            <w:sz w:val="18"/>
            <w:szCs w:val="18"/>
          </w:rPr>
        </w:pPr>
        <w:r w:rsidRPr="005146DF">
          <w:rPr>
            <w:rStyle w:val="Nmerodepgina"/>
            <w:color w:val="808080" w:themeColor="background1" w:themeShade="80"/>
            <w:sz w:val="18"/>
            <w:szCs w:val="18"/>
          </w:rPr>
          <w:fldChar w:fldCharType="begin"/>
        </w:r>
        <w:r w:rsidRPr="005146DF">
          <w:rPr>
            <w:rStyle w:val="Nmerodepgina"/>
            <w:color w:val="808080" w:themeColor="background1" w:themeShade="80"/>
            <w:sz w:val="18"/>
            <w:szCs w:val="18"/>
          </w:rPr>
          <w:instrText xml:space="preserve"> PAGE </w:instrText>
        </w:r>
        <w:r w:rsidRPr="005146DF">
          <w:rPr>
            <w:rStyle w:val="Nmerodepgina"/>
            <w:color w:val="808080" w:themeColor="background1" w:themeShade="80"/>
            <w:sz w:val="18"/>
            <w:szCs w:val="18"/>
          </w:rPr>
          <w:fldChar w:fldCharType="separate"/>
        </w:r>
        <w:r w:rsidR="000601EF">
          <w:rPr>
            <w:rStyle w:val="Nmerodepgina"/>
            <w:noProof/>
            <w:color w:val="808080" w:themeColor="background1" w:themeShade="80"/>
            <w:sz w:val="18"/>
            <w:szCs w:val="18"/>
          </w:rPr>
          <w:t>1</w:t>
        </w:r>
        <w:r w:rsidRPr="005146DF">
          <w:rPr>
            <w:rStyle w:val="Nmerodepgina"/>
            <w:color w:val="808080" w:themeColor="background1" w:themeShade="80"/>
            <w:sz w:val="18"/>
            <w:szCs w:val="18"/>
          </w:rPr>
          <w:fldChar w:fldCharType="end"/>
        </w:r>
      </w:p>
    </w:sdtContent>
  </w:sdt>
  <w:p w14:paraId="3E2F1B64"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bookmarkStart w:id="21" w:name="_Hlk175672605"/>
    <w:bookmarkStart w:id="22" w:name="_Hlk188623541"/>
    <w:r w:rsidRPr="009148D9">
      <w:rPr>
        <w:rFonts w:ascii="Times New Roman" w:eastAsia="Times New Roman" w:hAnsi="Times New Roman" w:cs="Times New Roman"/>
        <w:sz w:val="18"/>
        <w:szCs w:val="18"/>
        <w14:ligatures w14:val="none"/>
      </w:rPr>
      <w:t>Secretaria de Estado da Administração</w:t>
    </w:r>
  </w:p>
  <w:p w14:paraId="303A96C8"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Superintendência de Licitações e Contratos</w:t>
    </w:r>
  </w:p>
  <w:p w14:paraId="52B74D1F"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Diretoria de Planejamento de Compras Públicas</w:t>
    </w:r>
  </w:p>
  <w:p w14:paraId="5D168FA0" w14:textId="77777777"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Modelo de Termo de Referência de Bens – Lei nº 14.133, de 2021 e Decreto Estadual 21.872, de 2023.</w:t>
    </w:r>
  </w:p>
  <w:p w14:paraId="4590E682" w14:textId="3208B665" w:rsidR="009148D9" w:rsidRPr="009148D9" w:rsidRDefault="009148D9" w:rsidP="009148D9">
    <w:pPr>
      <w:tabs>
        <w:tab w:val="center" w:pos="4252"/>
        <w:tab w:val="right" w:pos="8504"/>
      </w:tabs>
      <w:jc w:val="both"/>
      <w:rPr>
        <w:rFonts w:ascii="Times New Roman" w:eastAsia="Times New Roman" w:hAnsi="Times New Roman" w:cs="Times New Roman"/>
        <w:sz w:val="18"/>
        <w:szCs w:val="18"/>
        <w14:ligatures w14:val="none"/>
      </w:rPr>
    </w:pPr>
    <w:r w:rsidRPr="009148D9">
      <w:rPr>
        <w:rFonts w:ascii="Times New Roman" w:eastAsia="Times New Roman" w:hAnsi="Times New Roman" w:cs="Times New Roman"/>
        <w:sz w:val="18"/>
        <w:szCs w:val="18"/>
        <w14:ligatures w14:val="none"/>
      </w:rPr>
      <w:t xml:space="preserve">Atualização: </w:t>
    </w:r>
    <w:proofErr w:type="gramStart"/>
    <w:r w:rsidR="00BE29D5">
      <w:rPr>
        <w:rFonts w:ascii="Times New Roman" w:eastAsia="Times New Roman" w:hAnsi="Times New Roman" w:cs="Times New Roman"/>
        <w:sz w:val="18"/>
        <w:szCs w:val="18"/>
        <w14:ligatures w14:val="none"/>
      </w:rPr>
      <w:t>Agosto</w:t>
    </w:r>
    <w:proofErr w:type="gramEnd"/>
    <w:r w:rsidRPr="009148D9">
      <w:rPr>
        <w:rFonts w:ascii="Times New Roman" w:eastAsia="Times New Roman" w:hAnsi="Times New Roman" w:cs="Times New Roman"/>
        <w:sz w:val="18"/>
        <w:szCs w:val="18"/>
        <w14:ligatures w14:val="none"/>
      </w:rPr>
      <w:t>/202</w:t>
    </w:r>
    <w:bookmarkEnd w:id="21"/>
    <w:r w:rsidRPr="009148D9">
      <w:rPr>
        <w:rFonts w:ascii="Times New Roman" w:eastAsia="Times New Roman" w:hAnsi="Times New Roman" w:cs="Times New Roman"/>
        <w:sz w:val="18"/>
        <w:szCs w:val="18"/>
        <w14:ligatures w14:val="none"/>
      </w:rPr>
      <w:t>5</w:t>
    </w:r>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59A2" w14:textId="77777777" w:rsidR="0099562C" w:rsidRDefault="0099562C" w:rsidP="005146DF">
      <w:r>
        <w:separator/>
      </w:r>
    </w:p>
  </w:footnote>
  <w:footnote w:type="continuationSeparator" w:id="0">
    <w:p w14:paraId="4ED368F4" w14:textId="77777777" w:rsidR="0099562C" w:rsidRDefault="0099562C" w:rsidP="0051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6F45" w14:textId="4D6BC82A" w:rsidR="003B1856" w:rsidRPr="0022264A" w:rsidRDefault="003B1856" w:rsidP="005146DF">
    <w:pPr>
      <w:pStyle w:val="Cabealho"/>
    </w:pPr>
    <w:r w:rsidRPr="0022264A">
      <w:rPr>
        <w:noProof/>
        <w:sz w:val="18"/>
        <w:szCs w:val="18"/>
        <w:lang w:eastAsia="pt-BR"/>
      </w:rPr>
      <w:drawing>
        <wp:anchor distT="0" distB="0" distL="114300" distR="114300" simplePos="0" relativeHeight="251660288" behindDoc="1" locked="0" layoutInCell="1" allowOverlap="1" wp14:anchorId="3D64A2D0" wp14:editId="11A4DA61">
          <wp:simplePos x="0" y="0"/>
          <wp:positionH relativeFrom="column">
            <wp:posOffset>3627755</wp:posOffset>
          </wp:positionH>
          <wp:positionV relativeFrom="paragraph">
            <wp:posOffset>-256540</wp:posOffset>
          </wp:positionV>
          <wp:extent cx="2811965" cy="89698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lorida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1965" cy="896982"/>
                  </a:xfrm>
                  <a:prstGeom prst="rect">
                    <a:avLst/>
                  </a:prstGeom>
                </pic:spPr>
              </pic:pic>
            </a:graphicData>
          </a:graphic>
          <wp14:sizeRelH relativeFrom="margin">
            <wp14:pctWidth>0</wp14:pctWidth>
          </wp14:sizeRelH>
          <wp14:sizeRelV relativeFrom="margin">
            <wp14:pctHeight>0</wp14:pctHeight>
          </wp14:sizeRelV>
        </wp:anchor>
      </w:drawing>
    </w:r>
    <w:r w:rsidR="005146DF" w:rsidRPr="0022264A">
      <w:rPr>
        <w:noProof/>
        <w:sz w:val="18"/>
        <w:szCs w:val="18"/>
        <w:lang w:eastAsia="pt-BR"/>
      </w:rPr>
      <w:drawing>
        <wp:anchor distT="0" distB="0" distL="114300" distR="114300" simplePos="0" relativeHeight="251659264" behindDoc="1" locked="1" layoutInCell="1" allowOverlap="1" wp14:anchorId="0E0A70A6" wp14:editId="7C5143C0">
          <wp:simplePos x="0" y="0"/>
          <wp:positionH relativeFrom="column">
            <wp:posOffset>-361315</wp:posOffset>
          </wp:positionH>
          <wp:positionV relativeFrom="page">
            <wp:posOffset>948055</wp:posOffset>
          </wp:positionV>
          <wp:extent cx="7100570" cy="9960610"/>
          <wp:effectExtent l="0" t="0" r="5080" b="254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7130" name="Imagem 1"/>
                  <pic:cNvPicPr/>
                </pic:nvPicPr>
                <pic:blipFill rotWithShape="1">
                  <a:blip r:embed="rId2">
                    <a:extLst>
                      <a:ext uri="{28A0092B-C50C-407E-A947-70E740481C1C}">
                        <a14:useLocalDpi xmlns:a14="http://schemas.microsoft.com/office/drawing/2010/main" val="0"/>
                      </a:ext>
                    </a:extLst>
                  </a:blip>
                  <a:srcRect l="22403" t="17014" r="9459" b="15329"/>
                  <a:stretch/>
                </pic:blipFill>
                <pic:spPr bwMode="auto">
                  <a:xfrm>
                    <a:off x="0" y="0"/>
                    <a:ext cx="7100570" cy="996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B55DA" w14:textId="77777777" w:rsidR="0022264A" w:rsidRDefault="0022264A" w:rsidP="005146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4AB9"/>
    <w:multiLevelType w:val="multilevel"/>
    <w:tmpl w:val="FFFFFFFF"/>
    <w:lvl w:ilvl="0">
      <w:start w:val="1"/>
      <w:numFmt w:val="decimal"/>
      <w:pStyle w:val="Nivel01"/>
      <w:lvlText w:val="%1."/>
      <w:lvlJc w:val="left"/>
      <w:pPr>
        <w:ind w:left="1495" w:hanging="360"/>
      </w:pPr>
      <w:rPr>
        <w:rFonts w:cs="Times New Roman" w:hint="default"/>
        <w:b/>
      </w:rPr>
    </w:lvl>
    <w:lvl w:ilvl="1">
      <w:start w:val="1"/>
      <w:numFmt w:val="decimal"/>
      <w:pStyle w:val="Nivel2-Opcional"/>
      <w:lvlText w:val="%1.%2."/>
      <w:lvlJc w:val="left"/>
      <w:pPr>
        <w:ind w:left="1709" w:hanging="432"/>
      </w:pPr>
      <w:rPr>
        <w:rFonts w:cs="Times New Roman" w:hint="default"/>
        <w:b w:val="0"/>
        <w:i w:val="0"/>
        <w:strike w:val="0"/>
        <w:color w:val="auto"/>
        <w:sz w:val="20"/>
        <w:szCs w:val="20"/>
        <w:u w:val="none"/>
      </w:rPr>
    </w:lvl>
    <w:lvl w:ilvl="2">
      <w:start w:val="1"/>
      <w:numFmt w:val="decimal"/>
      <w:pStyle w:val="Nivel3"/>
      <w:lvlText w:val="%1.%2.%3"/>
      <w:lvlJc w:val="left"/>
      <w:pPr>
        <w:ind w:left="3624" w:hanging="504"/>
      </w:pPr>
      <w:rPr>
        <w:rFonts w:cs="Times New Roman" w:hint="default"/>
        <w:b w:val="0"/>
        <w:i w:val="0"/>
        <w:strike w:val="0"/>
        <w:color w:val="000000" w:themeColor="text1"/>
        <w:sz w:val="20"/>
        <w:szCs w:val="20"/>
      </w:rPr>
    </w:lvl>
    <w:lvl w:ilvl="3">
      <w:start w:val="1"/>
      <w:numFmt w:val="decimal"/>
      <w:pStyle w:val="Nvel4-R"/>
      <w:lvlText w:val="%1.%2.%3.%4."/>
      <w:lvlJc w:val="left"/>
      <w:pPr>
        <w:ind w:left="3626" w:hanging="648"/>
      </w:pPr>
      <w:rPr>
        <w:rFonts w:cs="Times New Roman"/>
      </w:rPr>
    </w:lvl>
    <w:lvl w:ilvl="4">
      <w:start w:val="1"/>
      <w:numFmt w:val="decimal"/>
      <w:pStyle w:val="Nivel5"/>
      <w:lvlText w:val="%1.%2.%3.%4.%5."/>
      <w:lvlJc w:val="left"/>
      <w:pPr>
        <w:ind w:left="3367" w:hanging="792"/>
      </w:pPr>
      <w:rPr>
        <w:rFonts w:cs="Times New Roman" w:hint="default"/>
      </w:rPr>
    </w:lvl>
    <w:lvl w:ilvl="5">
      <w:start w:val="1"/>
      <w:numFmt w:val="decimal"/>
      <w:lvlText w:val="%1.%2.%3.%4.%5.%6."/>
      <w:lvlJc w:val="left"/>
      <w:pPr>
        <w:ind w:left="3871" w:hanging="936"/>
      </w:pPr>
      <w:rPr>
        <w:rFonts w:cs="Times New Roman" w:hint="default"/>
      </w:rPr>
    </w:lvl>
    <w:lvl w:ilvl="6">
      <w:start w:val="1"/>
      <w:numFmt w:val="decimal"/>
      <w:lvlText w:val="%1.%2.%3.%4.%5.%6.%7."/>
      <w:lvlJc w:val="left"/>
      <w:pPr>
        <w:ind w:left="4375" w:hanging="1080"/>
      </w:pPr>
      <w:rPr>
        <w:rFonts w:cs="Times New Roman" w:hint="default"/>
      </w:rPr>
    </w:lvl>
    <w:lvl w:ilvl="7">
      <w:start w:val="1"/>
      <w:numFmt w:val="decimal"/>
      <w:lvlText w:val="%1.%2.%3.%4.%5.%6.%7.%8."/>
      <w:lvlJc w:val="left"/>
      <w:pPr>
        <w:ind w:left="4879" w:hanging="1224"/>
      </w:pPr>
      <w:rPr>
        <w:rFonts w:cs="Times New Roman" w:hint="default"/>
      </w:rPr>
    </w:lvl>
    <w:lvl w:ilvl="8">
      <w:start w:val="1"/>
      <w:numFmt w:val="decimal"/>
      <w:lvlText w:val="%1.%2.%3.%4.%5.%6.%7.%8.%9."/>
      <w:lvlJc w:val="left"/>
      <w:pPr>
        <w:ind w:left="5455" w:hanging="1440"/>
      </w:pPr>
      <w:rPr>
        <w:rFonts w:cs="Times New Roman" w:hint="default"/>
      </w:rPr>
    </w:lvl>
  </w:abstractNum>
  <w:abstractNum w:abstractNumId="1" w15:restartNumberingAfterBreak="0">
    <w:nsid w:val="154A72A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Letter"/>
      <w:lvlText w:val="%2)"/>
      <w:lvlJc w:val="left"/>
      <w:pPr>
        <w:ind w:left="1440" w:hanging="360"/>
      </w:pPr>
      <w:rPr>
        <w:rFonts w:cs="Times New Roman" w:hint="default"/>
        <w:b w:val="0"/>
        <w:bCs/>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15:restartNumberingAfterBreak="0">
    <w:nsid w:val="2A10621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329422C5"/>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33E33C2D"/>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 w15:restartNumberingAfterBreak="0">
    <w:nsid w:val="357B5C3A"/>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 w15:restartNumberingAfterBreak="0">
    <w:nsid w:val="4622412E"/>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7" w15:restartNumberingAfterBreak="0">
    <w:nsid w:val="5260711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598B73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33319"/>
    <w:multiLevelType w:val="multilevel"/>
    <w:tmpl w:val="FFFFFFFF"/>
    <w:lvl w:ilvl="0">
      <w:start w:val="2"/>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15:restartNumberingAfterBreak="0">
    <w:nsid w:val="6AAB65F9"/>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1" w15:restartNumberingAfterBreak="0">
    <w:nsid w:val="6E99358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color w:val="000000" w:themeColor="text1"/>
      </w:rPr>
    </w:lvl>
    <w:lvl w:ilvl="2">
      <w:start w:val="1"/>
      <w:numFmt w:val="decimal"/>
      <w:lvlText w:val="%1.%2.%3."/>
      <w:lvlJc w:val="left"/>
      <w:pPr>
        <w:ind w:left="2348" w:hanging="504"/>
      </w:pPr>
      <w:rPr>
        <w:rFonts w:cs="Times New Roman"/>
        <w:b w:val="0"/>
        <w:bCs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77D04220"/>
    <w:multiLevelType w:val="multilevel"/>
    <w:tmpl w:val="FFFFFFFF"/>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15:restartNumberingAfterBreak="0">
    <w:nsid w:val="7BEA06FE"/>
    <w:multiLevelType w:val="multilevel"/>
    <w:tmpl w:val="FFFFFFFF"/>
    <w:lvl w:ilvl="0">
      <w:start w:val="7"/>
      <w:numFmt w:val="decimal"/>
      <w:lvlText w:val="%1."/>
      <w:lvlJc w:val="left"/>
      <w:pPr>
        <w:ind w:left="360" w:hanging="360"/>
      </w:pPr>
      <w:rPr>
        <w:rFonts w:cs="Times New Roman" w:hint="default"/>
      </w:rPr>
    </w:lvl>
    <w:lvl w:ilvl="1">
      <w:start w:val="1"/>
      <w:numFmt w:val="decimal"/>
      <w:pStyle w:val="Nvel02"/>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16cid:durableId="503787402">
    <w:abstractNumId w:val="6"/>
  </w:num>
  <w:num w:numId="2" w16cid:durableId="861288530">
    <w:abstractNumId w:val="4"/>
  </w:num>
  <w:num w:numId="3" w16cid:durableId="351802691">
    <w:abstractNumId w:val="9"/>
  </w:num>
  <w:num w:numId="4" w16cid:durableId="34812291">
    <w:abstractNumId w:val="10"/>
  </w:num>
  <w:num w:numId="5" w16cid:durableId="685405938">
    <w:abstractNumId w:val="5"/>
  </w:num>
  <w:num w:numId="6" w16cid:durableId="295599732">
    <w:abstractNumId w:val="1"/>
  </w:num>
  <w:num w:numId="7" w16cid:durableId="451365588">
    <w:abstractNumId w:val="12"/>
  </w:num>
  <w:num w:numId="8" w16cid:durableId="61220621">
    <w:abstractNumId w:val="8"/>
  </w:num>
  <w:num w:numId="9" w16cid:durableId="1399552613">
    <w:abstractNumId w:val="7"/>
  </w:num>
  <w:num w:numId="10" w16cid:durableId="704066509">
    <w:abstractNumId w:val="13"/>
  </w:num>
  <w:num w:numId="11" w16cid:durableId="908804580">
    <w:abstractNumId w:val="3"/>
  </w:num>
  <w:num w:numId="12" w16cid:durableId="494150505">
    <w:abstractNumId w:val="0"/>
  </w:num>
  <w:num w:numId="13" w16cid:durableId="2074041994">
    <w:abstractNumId w:val="11"/>
  </w:num>
  <w:num w:numId="14" w16cid:durableId="90723113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6DF"/>
    <w:rsid w:val="000601EF"/>
    <w:rsid w:val="000773F3"/>
    <w:rsid w:val="00081341"/>
    <w:rsid w:val="001160A2"/>
    <w:rsid w:val="001A07C3"/>
    <w:rsid w:val="00212898"/>
    <w:rsid w:val="0022264A"/>
    <w:rsid w:val="002D468D"/>
    <w:rsid w:val="003B1856"/>
    <w:rsid w:val="003D2F42"/>
    <w:rsid w:val="003E4334"/>
    <w:rsid w:val="00452F5E"/>
    <w:rsid w:val="004A4468"/>
    <w:rsid w:val="004F6794"/>
    <w:rsid w:val="005146DF"/>
    <w:rsid w:val="005A02C8"/>
    <w:rsid w:val="005B2DD8"/>
    <w:rsid w:val="005F2105"/>
    <w:rsid w:val="00661698"/>
    <w:rsid w:val="006832DE"/>
    <w:rsid w:val="00686838"/>
    <w:rsid w:val="006A7366"/>
    <w:rsid w:val="006D3F68"/>
    <w:rsid w:val="00701DCF"/>
    <w:rsid w:val="00792B9D"/>
    <w:rsid w:val="007C5FA7"/>
    <w:rsid w:val="007E03B9"/>
    <w:rsid w:val="008757AE"/>
    <w:rsid w:val="008C52F6"/>
    <w:rsid w:val="009148D9"/>
    <w:rsid w:val="0099562C"/>
    <w:rsid w:val="009E1C29"/>
    <w:rsid w:val="00A31283"/>
    <w:rsid w:val="00A33C38"/>
    <w:rsid w:val="00A4198E"/>
    <w:rsid w:val="00AC5C94"/>
    <w:rsid w:val="00AD5F7E"/>
    <w:rsid w:val="00BA0445"/>
    <w:rsid w:val="00BA38D8"/>
    <w:rsid w:val="00BE29D5"/>
    <w:rsid w:val="00C03B82"/>
    <w:rsid w:val="00C277EF"/>
    <w:rsid w:val="00C74EF6"/>
    <w:rsid w:val="00CB5A70"/>
    <w:rsid w:val="00DB691E"/>
    <w:rsid w:val="00DC07C2"/>
    <w:rsid w:val="00DC14BD"/>
    <w:rsid w:val="00DD0EDA"/>
    <w:rsid w:val="00DD34B5"/>
    <w:rsid w:val="00DE34FE"/>
    <w:rsid w:val="00E12285"/>
    <w:rsid w:val="00E34675"/>
    <w:rsid w:val="00E9687F"/>
    <w:rsid w:val="00E97ABF"/>
    <w:rsid w:val="00EB5520"/>
    <w:rsid w:val="00EC6A8A"/>
    <w:rsid w:val="00F05FFD"/>
    <w:rsid w:val="00F3408F"/>
    <w:rsid w:val="00F60333"/>
    <w:rsid w:val="00F63777"/>
    <w:rsid w:val="00F81B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60C32D"/>
  <w15:chartTrackingRefBased/>
  <w15:docId w15:val="{14A6B378-9BF6-E246-B0FE-5E9D3A6F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DF"/>
    <w:rPr>
      <w:rFonts w:ascii="Montserrat" w:hAnsi="Montserrat"/>
      <w:sz w:val="22"/>
      <w:szCs w:val="22"/>
    </w:rPr>
  </w:style>
  <w:style w:type="paragraph" w:styleId="Ttulo1">
    <w:name w:val="heading 1"/>
    <w:basedOn w:val="Normal"/>
    <w:next w:val="Normal"/>
    <w:link w:val="Ttulo1Char"/>
    <w:uiPriority w:val="9"/>
    <w:qFormat/>
    <w:rsid w:val="009148D9"/>
    <w:pPr>
      <w:keepNext/>
      <w:keepLines/>
      <w:spacing w:before="240" w:line="259" w:lineRule="auto"/>
      <w:outlineLvl w:val="0"/>
    </w:pPr>
    <w:rPr>
      <w:rFonts w:asciiTheme="majorHAnsi" w:eastAsiaTheme="majorEastAsia" w:hAnsiTheme="majorHAnsi" w:cs="Times New Roman"/>
      <w:color w:val="2F5496" w:themeColor="accent1" w:themeShade="BF"/>
      <w:sz w:val="32"/>
      <w:szCs w:val="32"/>
      <w14:ligatures w14:val="none"/>
    </w:rPr>
  </w:style>
  <w:style w:type="paragraph" w:styleId="Ttulo3">
    <w:name w:val="heading 3"/>
    <w:basedOn w:val="Normal"/>
    <w:link w:val="Ttulo3Char"/>
    <w:uiPriority w:val="9"/>
    <w:qFormat/>
    <w:rsid w:val="009148D9"/>
    <w:pPr>
      <w:spacing w:before="100" w:beforeAutospacing="1" w:after="100" w:afterAutospacing="1"/>
      <w:outlineLvl w:val="2"/>
    </w:pPr>
    <w:rPr>
      <w:rFonts w:ascii="Times New Roman" w:eastAsia="Times New Roman" w:hAnsi="Times New Roman" w:cs="Times New Roman"/>
      <w:b/>
      <w:bCs/>
      <w:kern w:val="0"/>
      <w:sz w:val="27"/>
      <w:szCs w:val="27"/>
      <w:lang w:eastAsia="pt-BR"/>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46DF"/>
    <w:pPr>
      <w:tabs>
        <w:tab w:val="center" w:pos="4252"/>
        <w:tab w:val="right" w:pos="8504"/>
      </w:tabs>
    </w:pPr>
  </w:style>
  <w:style w:type="character" w:customStyle="1" w:styleId="CabealhoChar">
    <w:name w:val="Cabeçalho Char"/>
    <w:basedOn w:val="Fontepargpadro"/>
    <w:link w:val="Cabealho"/>
    <w:uiPriority w:val="99"/>
    <w:rsid w:val="005146DF"/>
  </w:style>
  <w:style w:type="paragraph" w:styleId="Rodap">
    <w:name w:val="footer"/>
    <w:basedOn w:val="Normal"/>
    <w:link w:val="RodapChar"/>
    <w:uiPriority w:val="99"/>
    <w:unhideWhenUsed/>
    <w:rsid w:val="005146DF"/>
    <w:pPr>
      <w:tabs>
        <w:tab w:val="center" w:pos="4252"/>
        <w:tab w:val="right" w:pos="8504"/>
      </w:tabs>
    </w:pPr>
  </w:style>
  <w:style w:type="character" w:customStyle="1" w:styleId="RodapChar">
    <w:name w:val="Rodapé Char"/>
    <w:basedOn w:val="Fontepargpadro"/>
    <w:link w:val="Rodap"/>
    <w:uiPriority w:val="99"/>
    <w:qFormat/>
    <w:rsid w:val="005146DF"/>
  </w:style>
  <w:style w:type="table" w:styleId="Tabelacomgrade">
    <w:name w:val="Table Grid"/>
    <w:basedOn w:val="Tabelanormal"/>
    <w:uiPriority w:val="39"/>
    <w:rsid w:val="00514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unhideWhenUsed/>
    <w:rsid w:val="005146DF"/>
  </w:style>
  <w:style w:type="paragraph" w:styleId="PargrafodaLista">
    <w:name w:val="List Paragraph"/>
    <w:basedOn w:val="Normal"/>
    <w:uiPriority w:val="34"/>
    <w:qFormat/>
    <w:rsid w:val="002D468D"/>
    <w:pPr>
      <w:ind w:left="720"/>
      <w:contextualSpacing/>
    </w:pPr>
  </w:style>
  <w:style w:type="paragraph" w:customStyle="1" w:styleId="textojustificadorecuoprimeiralinha">
    <w:name w:val="texto_justificado_recuo_primeira_linha"/>
    <w:basedOn w:val="Normal"/>
    <w:rsid w:val="00DD0EDA"/>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styleId="NormalWeb">
    <w:name w:val="Normal (Web)"/>
    <w:basedOn w:val="Normal"/>
    <w:uiPriority w:val="99"/>
    <w:semiHidden/>
    <w:unhideWhenUsed/>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Forte">
    <w:name w:val="Strong"/>
    <w:basedOn w:val="Fontepargpadro"/>
    <w:uiPriority w:val="22"/>
    <w:qFormat/>
    <w:rsid w:val="003D2F42"/>
    <w:rPr>
      <w:b/>
      <w:bCs/>
    </w:rPr>
  </w:style>
  <w:style w:type="paragraph" w:customStyle="1" w:styleId="textojustificadorecuoprimeiralinhaespsimples">
    <w:name w:val="texto_justificado_recuo_primeira_linha_esp_simples"/>
    <w:basedOn w:val="Normal"/>
    <w:rsid w:val="003D2F42"/>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3D2F42"/>
    <w:rPr>
      <w:color w:val="0000FF"/>
      <w:u w:val="single"/>
    </w:rPr>
  </w:style>
  <w:style w:type="paragraph" w:customStyle="1" w:styleId="textoalinhadoesquerdaespacamentosimples">
    <w:name w:val="texto_alinhado_esquerda_espacamento_simples"/>
    <w:basedOn w:val="Normal"/>
    <w:rsid w:val="007C5FA7"/>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font8">
    <w:name w:val="font_8"/>
    <w:basedOn w:val="Normal"/>
    <w:rsid w:val="00F81B08"/>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customStyle="1" w:styleId="wixui-rich-texttext">
    <w:name w:val="wixui-rich-text__text"/>
    <w:basedOn w:val="Fontepargpadro"/>
    <w:rsid w:val="00F81B08"/>
  </w:style>
  <w:style w:type="character" w:customStyle="1" w:styleId="Ttulo1Char">
    <w:name w:val="Título 1 Char"/>
    <w:basedOn w:val="Fontepargpadro"/>
    <w:link w:val="Ttulo1"/>
    <w:uiPriority w:val="9"/>
    <w:rsid w:val="009148D9"/>
    <w:rPr>
      <w:rFonts w:asciiTheme="majorHAnsi" w:eastAsiaTheme="majorEastAsia" w:hAnsiTheme="majorHAnsi" w:cs="Times New Roman"/>
      <w:color w:val="2F5496" w:themeColor="accent1" w:themeShade="BF"/>
      <w:sz w:val="32"/>
      <w:szCs w:val="32"/>
      <w14:ligatures w14:val="none"/>
    </w:rPr>
  </w:style>
  <w:style w:type="character" w:customStyle="1" w:styleId="Ttulo3Char">
    <w:name w:val="Título 3 Char"/>
    <w:basedOn w:val="Fontepargpadro"/>
    <w:link w:val="Ttulo3"/>
    <w:uiPriority w:val="9"/>
    <w:rsid w:val="009148D9"/>
    <w:rPr>
      <w:rFonts w:ascii="Times New Roman" w:eastAsia="Times New Roman" w:hAnsi="Times New Roman" w:cs="Times New Roman"/>
      <w:b/>
      <w:bCs/>
      <w:kern w:val="0"/>
      <w:sz w:val="27"/>
      <w:szCs w:val="27"/>
      <w:lang w:eastAsia="pt-BR"/>
      <w14:ligatures w14:val="none"/>
    </w:rPr>
  </w:style>
  <w:style w:type="paragraph" w:customStyle="1" w:styleId="msonormal0">
    <w:name w:val="msonormal"/>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extocentralizado">
    <w:name w:val="texto_centraliz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nivel1">
    <w:name w:val="item_nivel1"/>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nivel2">
    <w:name w:val="item_nivel2"/>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citacao">
    <w:name w:val="citaca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extojustificado">
    <w:name w:val="texto_justific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9148D9"/>
    <w:rPr>
      <w:rFonts w:cs="Times New Roman"/>
      <w:i/>
      <w:iCs/>
    </w:rPr>
  </w:style>
  <w:style w:type="paragraph" w:customStyle="1" w:styleId="itemnivel3">
    <w:name w:val="item_nivel3"/>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HiperlinkVisitado">
    <w:name w:val="FollowedHyperlink"/>
    <w:basedOn w:val="Fontepargpadro"/>
    <w:uiPriority w:val="99"/>
    <w:semiHidden/>
    <w:unhideWhenUsed/>
    <w:rsid w:val="009148D9"/>
    <w:rPr>
      <w:rFonts w:cs="Times New Roman"/>
      <w:color w:val="800080"/>
      <w:u w:val="single"/>
    </w:rPr>
  </w:style>
  <w:style w:type="paragraph" w:customStyle="1" w:styleId="itemnivel4">
    <w:name w:val="item_nivel4"/>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tabelatextocentralizado">
    <w:name w:val="tabela_texto_centralizado"/>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paragraph" w:customStyle="1" w:styleId="itemalinealetra">
    <w:name w:val="item_alinea_letra"/>
    <w:basedOn w:val="Normal"/>
    <w:rsid w:val="009148D9"/>
    <w:pPr>
      <w:spacing w:before="100" w:beforeAutospacing="1" w:after="100" w:afterAutospacing="1"/>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9148D9"/>
    <w:rPr>
      <w:rFonts w:cs="Times New Roman"/>
      <w:color w:val="605E5C"/>
      <w:shd w:val="clear" w:color="auto" w:fill="E1DFDD"/>
    </w:rPr>
  </w:style>
  <w:style w:type="paragraph" w:customStyle="1" w:styleId="Nivel01">
    <w:name w:val="Nivel 01"/>
    <w:basedOn w:val="PargrafodaLista"/>
    <w:next w:val="Normal"/>
    <w:autoRedefine/>
    <w:qFormat/>
    <w:rsid w:val="009148D9"/>
    <w:pPr>
      <w:numPr>
        <w:numId w:val="12"/>
      </w:numPr>
      <w:spacing w:before="360" w:after="120" w:line="276" w:lineRule="auto"/>
      <w:ind w:left="357" w:hanging="357"/>
      <w:contextualSpacing w:val="0"/>
      <w:jc w:val="both"/>
      <w:outlineLvl w:val="0"/>
    </w:pPr>
    <w:rPr>
      <w:rFonts w:ascii="Arial" w:eastAsia="Times New Roman" w:hAnsi="Arial" w:cs="Arial"/>
      <w:b/>
      <w:iCs/>
      <w:kern w:val="0"/>
      <w:sz w:val="20"/>
      <w:szCs w:val="20"/>
      <w:lang w:eastAsia="pt-BR"/>
      <w14:ligatures w14:val="none"/>
    </w:rPr>
  </w:style>
  <w:style w:type="paragraph" w:customStyle="1" w:styleId="Nivel2-Opcional">
    <w:name w:val="Nivel 2-Opcional"/>
    <w:basedOn w:val="Normal"/>
    <w:autoRedefine/>
    <w:rsid w:val="009148D9"/>
    <w:pPr>
      <w:numPr>
        <w:ilvl w:val="1"/>
        <w:numId w:val="12"/>
      </w:numPr>
      <w:shd w:val="clear" w:color="auto" w:fill="7B7B7B" w:themeFill="accent3" w:themeFillShade="BF"/>
      <w:spacing w:before="120" w:after="120" w:line="276" w:lineRule="auto"/>
      <w:jc w:val="both"/>
    </w:pPr>
    <w:rPr>
      <w:rFonts w:ascii="Arial" w:eastAsia="Times New Roman" w:hAnsi="Arial" w:cs="Arial"/>
      <w:i/>
      <w:color w:val="FF0000"/>
      <w:kern w:val="0"/>
      <w:sz w:val="20"/>
      <w:szCs w:val="20"/>
      <w:lang w:eastAsia="pt-BR"/>
      <w14:ligatures w14:val="none"/>
    </w:rPr>
  </w:style>
  <w:style w:type="paragraph" w:customStyle="1" w:styleId="Nivel5">
    <w:name w:val="Nivel 5"/>
    <w:basedOn w:val="Nvel4-R"/>
    <w:autoRedefine/>
    <w:qFormat/>
    <w:rsid w:val="009148D9"/>
    <w:pPr>
      <w:numPr>
        <w:ilvl w:val="4"/>
      </w:numPr>
      <w:ind w:left="851"/>
    </w:pPr>
  </w:style>
  <w:style w:type="paragraph" w:customStyle="1" w:styleId="Nvel02">
    <w:name w:val="Nível 02"/>
    <w:basedOn w:val="Nivel2-Opcional"/>
    <w:link w:val="Nvel02Char"/>
    <w:autoRedefine/>
    <w:qFormat/>
    <w:rsid w:val="009148D9"/>
    <w:pPr>
      <w:numPr>
        <w:numId w:val="10"/>
      </w:numPr>
      <w:shd w:val="clear" w:color="auto" w:fill="auto"/>
    </w:pPr>
    <w:rPr>
      <w:rFonts w:ascii="Times New Roman" w:hAnsi="Times New Roman" w:cs="Times New Roman"/>
      <w:i w:val="0"/>
      <w:iCs/>
      <w:color w:val="auto"/>
      <w:sz w:val="24"/>
      <w:szCs w:val="24"/>
    </w:rPr>
  </w:style>
  <w:style w:type="character" w:customStyle="1" w:styleId="Nvel02Char">
    <w:name w:val="Nível 02 Char"/>
    <w:basedOn w:val="Fontepargpadro"/>
    <w:link w:val="Nvel02"/>
    <w:locked/>
    <w:rsid w:val="009148D9"/>
    <w:rPr>
      <w:rFonts w:ascii="Times New Roman" w:eastAsia="Times New Roman" w:hAnsi="Times New Roman" w:cs="Times New Roman"/>
      <w:iCs/>
      <w:kern w:val="0"/>
      <w:lang w:eastAsia="pt-BR"/>
      <w14:ligatures w14:val="none"/>
    </w:rPr>
  </w:style>
  <w:style w:type="paragraph" w:customStyle="1" w:styleId="Nvel4-R">
    <w:name w:val="Nível 4-R"/>
    <w:basedOn w:val="Normal"/>
    <w:autoRedefine/>
    <w:qFormat/>
    <w:rsid w:val="009148D9"/>
    <w:pPr>
      <w:numPr>
        <w:ilvl w:val="3"/>
        <w:numId w:val="12"/>
      </w:numPr>
      <w:spacing w:before="120" w:after="120" w:line="276" w:lineRule="auto"/>
      <w:ind w:left="567"/>
      <w:jc w:val="both"/>
    </w:pPr>
    <w:rPr>
      <w:rFonts w:ascii="Arial" w:eastAsiaTheme="minorEastAsia" w:hAnsi="Arial" w:cs="Arial"/>
      <w:bCs/>
      <w:i/>
      <w:color w:val="FF0000"/>
      <w:kern w:val="0"/>
      <w:sz w:val="20"/>
      <w:szCs w:val="20"/>
      <w:lang w:eastAsia="pt-BR"/>
      <w14:ligatures w14:val="none"/>
    </w:rPr>
  </w:style>
  <w:style w:type="paragraph" w:customStyle="1" w:styleId="Nivel3">
    <w:name w:val="Nivel 3"/>
    <w:basedOn w:val="Normal"/>
    <w:qFormat/>
    <w:rsid w:val="009148D9"/>
    <w:pPr>
      <w:numPr>
        <w:ilvl w:val="2"/>
        <w:numId w:val="12"/>
      </w:numPr>
      <w:spacing w:before="120" w:after="120" w:line="276" w:lineRule="auto"/>
      <w:ind w:left="284"/>
      <w:jc w:val="both"/>
    </w:pPr>
    <w:rPr>
      <w:rFonts w:ascii="Arial" w:eastAsiaTheme="minorEastAsia" w:hAnsi="Arial" w:cs="Tahoma"/>
      <w:kern w:val="0"/>
      <w:sz w:val="20"/>
      <w:szCs w:val="24"/>
      <w:lang w:eastAsia="pt-BR"/>
      <w14:ligatures w14:val="none"/>
    </w:rPr>
  </w:style>
  <w:style w:type="character" w:styleId="Refdecomentrio">
    <w:name w:val="annotation reference"/>
    <w:basedOn w:val="Fontepargpadro"/>
    <w:uiPriority w:val="99"/>
    <w:unhideWhenUsed/>
    <w:qFormat/>
    <w:rsid w:val="009148D9"/>
    <w:rPr>
      <w:rFonts w:cs="Times New Roman"/>
      <w:sz w:val="16"/>
      <w:szCs w:val="16"/>
    </w:rPr>
  </w:style>
  <w:style w:type="paragraph" w:styleId="Textodecomentrio">
    <w:name w:val="annotation text"/>
    <w:basedOn w:val="Normal"/>
    <w:link w:val="TextodecomentrioChar"/>
    <w:uiPriority w:val="99"/>
    <w:unhideWhenUsed/>
    <w:qFormat/>
    <w:rsid w:val="009148D9"/>
    <w:rPr>
      <w:rFonts w:ascii="Ecofont_Spranq_eco_Sans" w:eastAsiaTheme="minorEastAsia" w:hAnsi="Ecofont_Spranq_eco_Sans" w:cs="Tahoma"/>
      <w:kern w:val="0"/>
      <w:sz w:val="20"/>
      <w:szCs w:val="20"/>
      <w:lang w:eastAsia="pt-BR"/>
      <w14:ligatures w14:val="none"/>
    </w:rPr>
  </w:style>
  <w:style w:type="character" w:customStyle="1" w:styleId="TextodecomentrioChar">
    <w:name w:val="Texto de comentário Char"/>
    <w:basedOn w:val="Fontepargpadro"/>
    <w:link w:val="Textodecomentrio"/>
    <w:uiPriority w:val="99"/>
    <w:qFormat/>
    <w:rsid w:val="009148D9"/>
    <w:rPr>
      <w:rFonts w:ascii="Ecofont_Spranq_eco_Sans" w:eastAsiaTheme="minorEastAsia" w:hAnsi="Ecofont_Spranq_eco_Sans" w:cs="Tahoma"/>
      <w:kern w:val="0"/>
      <w:sz w:val="20"/>
      <w:szCs w:val="20"/>
      <w:lang w:eastAsia="pt-BR"/>
      <w14:ligatures w14:val="none"/>
    </w:rPr>
  </w:style>
  <w:style w:type="paragraph" w:customStyle="1" w:styleId="Nivel2">
    <w:name w:val="Nivel 2"/>
    <w:basedOn w:val="Normal"/>
    <w:autoRedefine/>
    <w:qFormat/>
    <w:rsid w:val="009148D9"/>
    <w:pPr>
      <w:spacing w:before="120" w:after="120" w:line="276" w:lineRule="auto"/>
      <w:ind w:left="4117" w:hanging="432"/>
      <w:jc w:val="both"/>
    </w:pPr>
    <w:rPr>
      <w:rFonts w:ascii="Arial" w:eastAsiaTheme="minorEastAsia" w:hAnsi="Arial" w:cs="Arial"/>
      <w:color w:val="000000"/>
      <w:kern w:val="0"/>
      <w:sz w:val="20"/>
      <w:szCs w:val="20"/>
      <w:lang w:eastAsia="pt-BR"/>
      <w14:ligatures w14:val="none"/>
    </w:rPr>
  </w:style>
  <w:style w:type="paragraph" w:customStyle="1" w:styleId="Nivel4">
    <w:name w:val="Nivel 4"/>
    <w:basedOn w:val="Nivel3"/>
    <w:qFormat/>
    <w:rsid w:val="009148D9"/>
    <w:pPr>
      <w:numPr>
        <w:ilvl w:val="0"/>
        <w:numId w:val="0"/>
      </w:numPr>
      <w:ind w:left="567" w:hanging="648"/>
    </w:pPr>
    <w:rPr>
      <w:rFonts w:cs="Arial"/>
      <w:szCs w:val="20"/>
    </w:rPr>
  </w:style>
  <w:style w:type="paragraph" w:customStyle="1" w:styleId="ou">
    <w:name w:val="ou"/>
    <w:basedOn w:val="PargrafodaLista"/>
    <w:link w:val="ouChar"/>
    <w:qFormat/>
    <w:rsid w:val="009148D9"/>
    <w:pPr>
      <w:spacing w:before="60" w:after="60" w:line="259" w:lineRule="auto"/>
      <w:ind w:left="0"/>
      <w:contextualSpacing w:val="0"/>
      <w:jc w:val="center"/>
    </w:pPr>
    <w:rPr>
      <w:rFonts w:ascii="Arial" w:eastAsiaTheme="minorEastAsia" w:hAnsi="Arial" w:cs="Arial"/>
      <w:b/>
      <w:bCs/>
      <w:i/>
      <w:iCs/>
      <w:color w:val="FF0000"/>
      <w:kern w:val="0"/>
      <w:sz w:val="24"/>
      <w:szCs w:val="24"/>
      <w:u w:val="single"/>
      <w:lang w:eastAsia="pt-BR"/>
      <w14:ligatures w14:val="none"/>
    </w:rPr>
  </w:style>
  <w:style w:type="character" w:customStyle="1" w:styleId="ouChar">
    <w:name w:val="ou Char"/>
    <w:basedOn w:val="Fontepargpadro"/>
    <w:link w:val="ou"/>
    <w:locked/>
    <w:rsid w:val="009148D9"/>
    <w:rPr>
      <w:rFonts w:ascii="Arial" w:eastAsiaTheme="minorEastAsia" w:hAnsi="Arial" w:cs="Arial"/>
      <w:b/>
      <w:bCs/>
      <w:i/>
      <w:iCs/>
      <w:color w:val="FF0000"/>
      <w:kern w:val="0"/>
      <w:u w:val="single"/>
      <w:lang w:eastAsia="pt-BR"/>
      <w14:ligatures w14:val="none"/>
    </w:rPr>
  </w:style>
  <w:style w:type="paragraph" w:customStyle="1" w:styleId="Nvel2-Red">
    <w:name w:val="Nível 2 -Red"/>
    <w:basedOn w:val="Nivel2"/>
    <w:link w:val="Nvel2-RedChar"/>
    <w:qFormat/>
    <w:rsid w:val="009148D9"/>
    <w:rPr>
      <w:i/>
      <w:iCs/>
      <w:color w:val="FF0000"/>
    </w:rPr>
  </w:style>
  <w:style w:type="character" w:customStyle="1" w:styleId="Nvel2-RedChar">
    <w:name w:val="Nível 2 -Red Char"/>
    <w:basedOn w:val="Fontepargpadro"/>
    <w:link w:val="Nvel2-Red"/>
    <w:locked/>
    <w:rsid w:val="009148D9"/>
    <w:rPr>
      <w:rFonts w:ascii="Arial" w:eastAsiaTheme="minorEastAsia" w:hAnsi="Arial" w:cs="Arial"/>
      <w:i/>
      <w:iCs/>
      <w:color w:val="FF0000"/>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1164">
      <w:bodyDiv w:val="1"/>
      <w:marLeft w:val="0"/>
      <w:marRight w:val="0"/>
      <w:marTop w:val="0"/>
      <w:marBottom w:val="0"/>
      <w:divBdr>
        <w:top w:val="none" w:sz="0" w:space="0" w:color="auto"/>
        <w:left w:val="none" w:sz="0" w:space="0" w:color="auto"/>
        <w:bottom w:val="none" w:sz="0" w:space="0" w:color="auto"/>
        <w:right w:val="none" w:sz="0" w:space="0" w:color="auto"/>
      </w:divBdr>
    </w:div>
    <w:div w:id="856037677">
      <w:bodyDiv w:val="1"/>
      <w:marLeft w:val="0"/>
      <w:marRight w:val="0"/>
      <w:marTop w:val="0"/>
      <w:marBottom w:val="0"/>
      <w:divBdr>
        <w:top w:val="none" w:sz="0" w:space="0" w:color="auto"/>
        <w:left w:val="none" w:sz="0" w:space="0" w:color="auto"/>
        <w:bottom w:val="none" w:sz="0" w:space="0" w:color="auto"/>
        <w:right w:val="none" w:sz="0" w:space="0" w:color="auto"/>
      </w:divBdr>
    </w:div>
    <w:div w:id="971405918">
      <w:bodyDiv w:val="1"/>
      <w:marLeft w:val="0"/>
      <w:marRight w:val="0"/>
      <w:marTop w:val="0"/>
      <w:marBottom w:val="0"/>
      <w:divBdr>
        <w:top w:val="none" w:sz="0" w:space="0" w:color="auto"/>
        <w:left w:val="none" w:sz="0" w:space="0" w:color="auto"/>
        <w:bottom w:val="none" w:sz="0" w:space="0" w:color="auto"/>
        <w:right w:val="none" w:sz="0" w:space="0" w:color="auto"/>
      </w:divBdr>
    </w:div>
    <w:div w:id="1044719176">
      <w:bodyDiv w:val="1"/>
      <w:marLeft w:val="0"/>
      <w:marRight w:val="0"/>
      <w:marTop w:val="0"/>
      <w:marBottom w:val="0"/>
      <w:divBdr>
        <w:top w:val="none" w:sz="0" w:space="0" w:color="auto"/>
        <w:left w:val="none" w:sz="0" w:space="0" w:color="auto"/>
        <w:bottom w:val="none" w:sz="0" w:space="0" w:color="auto"/>
        <w:right w:val="none" w:sz="0" w:space="0" w:color="auto"/>
      </w:divBdr>
    </w:div>
    <w:div w:id="1094860647">
      <w:bodyDiv w:val="1"/>
      <w:marLeft w:val="0"/>
      <w:marRight w:val="0"/>
      <w:marTop w:val="0"/>
      <w:marBottom w:val="0"/>
      <w:divBdr>
        <w:top w:val="none" w:sz="0" w:space="0" w:color="auto"/>
        <w:left w:val="none" w:sz="0" w:space="0" w:color="auto"/>
        <w:bottom w:val="none" w:sz="0" w:space="0" w:color="auto"/>
        <w:right w:val="none" w:sz="0" w:space="0" w:color="auto"/>
      </w:divBdr>
    </w:div>
    <w:div w:id="19053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compras/pt-br/acesso-a-informacao/legislacao/instrucoes-normativas/instrucao-normativa-seges-me-no-81-de-25-de-novembro-de-2022"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gov.br/compras/pt-br/acesso-a-informacao/legislacao/instrucoes-normativas/instrucao-normativa-seges-me-no-81-de-25-de-novembro-de-2022"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gov.br/compras/pt-br/acesso-a-informacao/legislacao/instrucoes-normativas/instrucao-normativa-seges-me-no-73-de-30-de-setembro-de-2022" TargetMode="External"/><Relationship Id="rId11" Type="http://schemas.openxmlformats.org/officeDocument/2006/relationships/hyperlink" Target="https://www.planalto.gov.br/ccivil_03/leis/1950-1969/L4150.htm" TargetMode="External"/><Relationship Id="rId24" Type="http://schemas.openxmlformats.org/officeDocument/2006/relationships/hyperlink" Target="http://www.planalto.gov.br/ccivil_03/_Ato2015-2018/2015/Decreto/D8538.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CP/Lcp130.htm" TargetMode="External"/><Relationship Id="rId40" Type="http://schemas.openxmlformats.org/officeDocument/2006/relationships/hyperlink" Target="https://www.planalto.gov.br/ccivil_03/_ato2007-2010/2009/lei/l12187.htm" TargetMode="External"/><Relationship Id="rId45" Type="http://schemas.openxmlformats.org/officeDocument/2006/relationships/hyperlink" Target="https://www.in.gov.br/en/web/dou/-/instrucao-normativa-seges-n-58-de-8-de-agosto-de-2022-421221597%23" TargetMode="External"/><Relationship Id="rId5"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1-2014/2012/Lei/L12690.htm" TargetMode="External"/><Relationship Id="rId49" Type="http://schemas.openxmlformats.org/officeDocument/2006/relationships/footer" Target="footer2.xm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s://www.gov.br/compras/pt-br/acesso-a-informacao/legislacao/instrucoes-normativas/instrucao-normativa-seges-me-no-81-de-25-de-novembro-de-2022"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gov.br/compras/pt-br/acesso-a-informacao/legislacao/instrucoes-normativas/instrucao-normativa-seges-me-no-73-de-30-de-setembro-de-2022" TargetMode="External"/><Relationship Id="rId22" Type="http://schemas.openxmlformats.org/officeDocument/2006/relationships/hyperlink" Target="https://www.gov.br/agu/pt-br/composicao/cgu/cgu/guias/gncs_082022.pdf" TargetMode="External"/><Relationship Id="rId27" Type="http://schemas.openxmlformats.org/officeDocument/2006/relationships/hyperlink" Target="https://www.gov.br/agu/pt-br/composicao/cgu/cgu/guias/guia-de-contratacoes-sustentaveis-set-2023.pdf"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LEIS/L5764.HTM" TargetMode="External"/><Relationship Id="rId43" Type="http://schemas.openxmlformats.org/officeDocument/2006/relationships/hyperlink" Target="https://www.gov.br/compras/pt-br/acesso-a-informacao/legislacao/instrucoes-normativas/instrucao-normativa-seges-me-no-81-de-25-de-novembro-de-2022" TargetMode="External"/><Relationship Id="rId48" Type="http://schemas.openxmlformats.org/officeDocument/2006/relationships/footer" Target="footer1.xml"/><Relationship Id="rId8" Type="http://schemas.openxmlformats.org/officeDocument/2006/relationships/hyperlink" Target="https://www.gov.br/compras/pt-br/acesso-a-informacao/legislacao/instrucoes-normativas/instrucao-normativa-seges-no-58-de-8-de-agosto-de-2022"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v.br/compras/pt-br/acesso-a-informacao/legislacao/instrucoes-normativas/instrucao-normativa-seges-no-58-de-8-de-agosto-de-2022" TargetMode="External"/><Relationship Id="rId17" Type="http://schemas.openxmlformats.org/officeDocument/2006/relationships/hyperlink" Target="https://www.gov.br/compras/pt-br/acesso-a-informacao/legislacao/instrucoes-normativas/instrucao-normativa-seges-me-no-81-de-25-de-novembro-de-2022"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2/Lei/L12690.htm" TargetMode="External"/><Relationship Id="rId46" Type="http://schemas.openxmlformats.org/officeDocument/2006/relationships/hyperlink" Target="https://www.gov.br/agu/pt-br/composicao/cgu/cgu/guias/instrumento-de-padronizacao-dos-procedimentos-de-contratacao.pdf" TargetMode="External"/><Relationship Id="rId20" Type="http://schemas.openxmlformats.org/officeDocument/2006/relationships/hyperlink" Target="https://www.gov.br/compras/pt-br/acesso-a-informacao/legislacao/portarias/portaria-seges-me-no-938-de-2-de-fevereiro-de-2022" TargetMode="External"/><Relationship Id="rId41" Type="http://schemas.openxmlformats.org/officeDocument/2006/relationships/hyperlink" Target="https://www.gov.br/compras/pt-br/acesso-a-informacao/legislacao/instrucoes-normativas/instrucao-normativa-seges-me-no-81-de-25-de-novembro-de-2022"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34</Pages>
  <Words>13919</Words>
  <Characters>75164</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MMM Mourão</dc:creator>
  <cp:keywords/>
  <dc:description/>
  <cp:lastModifiedBy>Jessica Kelly de Sousa Carvalho</cp:lastModifiedBy>
  <cp:revision>2</cp:revision>
  <dcterms:created xsi:type="dcterms:W3CDTF">2025-08-15T16:34:00Z</dcterms:created>
  <dcterms:modified xsi:type="dcterms:W3CDTF">2025-08-15T16:34:00Z</dcterms:modified>
</cp:coreProperties>
</file>